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0990" w14:textId="77777777" w:rsidR="004D02BE" w:rsidRDefault="004D02BE" w:rsidP="004D02BE">
      <w:pPr>
        <w:spacing w:after="0" w:line="276" w:lineRule="auto"/>
        <w:jc w:val="center"/>
        <w:rPr>
          <w:rFonts w:ascii="Bookman Old Style" w:hAnsi="Bookman Old Style" w:cs="Times New Roman"/>
          <w:sz w:val="24"/>
          <w:szCs w:val="24"/>
          <w:lang w:val="es-MX"/>
        </w:rPr>
      </w:pPr>
    </w:p>
    <w:p w14:paraId="02A1E970" w14:textId="5BCAF71D" w:rsidR="004D02BE" w:rsidRPr="004D02BE" w:rsidRDefault="004D02BE" w:rsidP="004D02BE">
      <w:pPr>
        <w:spacing w:after="0" w:line="276" w:lineRule="auto"/>
        <w:jc w:val="center"/>
        <w:rPr>
          <w:rFonts w:ascii="Bookman Old Style" w:hAnsi="Bookman Old Style" w:cs="Times New Roman"/>
          <w:b/>
          <w:bCs/>
          <w:sz w:val="24"/>
          <w:szCs w:val="24"/>
          <w:lang w:val="es-MX"/>
        </w:rPr>
      </w:pPr>
      <w:r>
        <w:rPr>
          <w:rFonts w:ascii="Bookman Old Style" w:hAnsi="Bookman Old Style" w:cs="Times New Roman"/>
          <w:b/>
          <w:bCs/>
          <w:sz w:val="24"/>
          <w:szCs w:val="24"/>
          <w:lang w:val="es-MX"/>
        </w:rPr>
        <w:t xml:space="preserve">INFORME DE PONENCIA PARA PRIMER DEBATE EN PRIMERA VUELTA </w:t>
      </w:r>
      <w:r w:rsidR="009D3106">
        <w:rPr>
          <w:rFonts w:ascii="Bookman Old Style" w:hAnsi="Bookman Old Style" w:cs="Times New Roman"/>
          <w:b/>
          <w:bCs/>
          <w:sz w:val="24"/>
          <w:szCs w:val="24"/>
          <w:lang w:val="es-MX"/>
        </w:rPr>
        <w:t xml:space="preserve">EN LA CÁMARA DE REPRESENTANTES </w:t>
      </w:r>
      <w:r>
        <w:rPr>
          <w:rFonts w:ascii="Bookman Old Style" w:hAnsi="Bookman Old Style" w:cs="Times New Roman"/>
          <w:b/>
          <w:bCs/>
          <w:sz w:val="24"/>
          <w:szCs w:val="24"/>
          <w:lang w:val="es-MX"/>
        </w:rPr>
        <w:t xml:space="preserve">AL </w:t>
      </w:r>
      <w:r w:rsidRPr="00B327CE">
        <w:rPr>
          <w:rFonts w:ascii="Bookman Old Style" w:hAnsi="Bookman Old Style" w:cs="Times New Roman"/>
          <w:b/>
          <w:bCs/>
          <w:sz w:val="24"/>
          <w:szCs w:val="24"/>
          <w:lang w:val="es-MX"/>
        </w:rPr>
        <w:t xml:space="preserve">PROYECTO DE ACTO LEGISLATIVO 366 DE 2021 CÁMARA – 011 DE 2021 SENADO </w:t>
      </w:r>
      <w:r w:rsidRPr="004D02BE">
        <w:rPr>
          <w:rFonts w:ascii="Bookman Old Style" w:hAnsi="Bookman Old Style" w:cs="Times New Roman"/>
          <w:sz w:val="24"/>
          <w:szCs w:val="24"/>
          <w:lang w:val="es-MX"/>
        </w:rPr>
        <w:t>“por el cual se modifica el artículo 65 de la Constitución Política de Colombia”.</w:t>
      </w:r>
    </w:p>
    <w:p w14:paraId="27B921D7" w14:textId="18851C5F" w:rsidR="004D02BE" w:rsidRPr="004D02BE" w:rsidRDefault="004D02BE" w:rsidP="005908A4">
      <w:pPr>
        <w:spacing w:after="0" w:line="276" w:lineRule="auto"/>
        <w:rPr>
          <w:rFonts w:ascii="Bookman Old Style" w:hAnsi="Bookman Old Style" w:cs="Times New Roman"/>
          <w:b/>
          <w:bCs/>
          <w:sz w:val="24"/>
          <w:szCs w:val="24"/>
          <w:lang w:val="es-MX"/>
        </w:rPr>
      </w:pPr>
    </w:p>
    <w:p w14:paraId="25168AE2" w14:textId="77777777" w:rsidR="004D02BE" w:rsidRDefault="004D02BE" w:rsidP="005908A4">
      <w:pPr>
        <w:spacing w:after="0" w:line="276" w:lineRule="auto"/>
        <w:rPr>
          <w:rFonts w:ascii="Bookman Old Style" w:hAnsi="Bookman Old Style" w:cs="Times New Roman"/>
          <w:sz w:val="24"/>
          <w:szCs w:val="24"/>
          <w:lang w:val="es-MX"/>
        </w:rPr>
      </w:pPr>
    </w:p>
    <w:p w14:paraId="43FE036D" w14:textId="77777777" w:rsidR="004D02BE" w:rsidRDefault="004D02BE" w:rsidP="005908A4">
      <w:pPr>
        <w:spacing w:after="0" w:line="276" w:lineRule="auto"/>
        <w:rPr>
          <w:rFonts w:ascii="Bookman Old Style" w:hAnsi="Bookman Old Style" w:cs="Times New Roman"/>
          <w:sz w:val="24"/>
          <w:szCs w:val="24"/>
          <w:lang w:val="es-MX"/>
        </w:rPr>
      </w:pPr>
    </w:p>
    <w:p w14:paraId="2B8D2AB0" w14:textId="1FCDADEA" w:rsidR="0099663C" w:rsidRPr="00B327CE" w:rsidRDefault="00DB41B7" w:rsidP="005908A4">
      <w:pPr>
        <w:spacing w:after="0" w:line="276" w:lineRule="auto"/>
        <w:rPr>
          <w:rFonts w:ascii="Bookman Old Style" w:hAnsi="Bookman Old Style" w:cs="Times New Roman"/>
          <w:sz w:val="24"/>
          <w:szCs w:val="24"/>
          <w:lang w:val="es-MX"/>
        </w:rPr>
      </w:pPr>
      <w:r w:rsidRPr="00B327CE">
        <w:rPr>
          <w:rFonts w:ascii="Bookman Old Style" w:hAnsi="Bookman Old Style" w:cs="Times New Roman"/>
          <w:sz w:val="24"/>
          <w:szCs w:val="24"/>
          <w:lang w:val="es-MX"/>
        </w:rPr>
        <w:t xml:space="preserve">Bogotá D.C., </w:t>
      </w:r>
      <w:r w:rsidR="00B327CE">
        <w:rPr>
          <w:rFonts w:ascii="Bookman Old Style" w:hAnsi="Bookman Old Style" w:cs="Times New Roman"/>
          <w:sz w:val="24"/>
          <w:szCs w:val="24"/>
          <w:lang w:val="es-MX"/>
        </w:rPr>
        <w:t>1</w:t>
      </w:r>
      <w:r w:rsidR="006658FD">
        <w:rPr>
          <w:rFonts w:ascii="Bookman Old Style" w:hAnsi="Bookman Old Style" w:cs="Times New Roman"/>
          <w:sz w:val="24"/>
          <w:szCs w:val="24"/>
          <w:lang w:val="es-MX"/>
        </w:rPr>
        <w:t>2</w:t>
      </w:r>
      <w:r w:rsidR="00B327CE">
        <w:rPr>
          <w:rFonts w:ascii="Bookman Old Style" w:hAnsi="Bookman Old Style" w:cs="Times New Roman"/>
          <w:sz w:val="24"/>
          <w:szCs w:val="24"/>
          <w:lang w:val="es-MX"/>
        </w:rPr>
        <w:t xml:space="preserve"> de </w:t>
      </w:r>
      <w:r w:rsidRPr="00B327CE">
        <w:rPr>
          <w:rFonts w:ascii="Bookman Old Style" w:hAnsi="Bookman Old Style" w:cs="Times New Roman"/>
          <w:sz w:val="24"/>
          <w:szCs w:val="24"/>
          <w:lang w:val="es-MX"/>
        </w:rPr>
        <w:t>noviembre de 2021</w:t>
      </w:r>
    </w:p>
    <w:p w14:paraId="61AB6E70" w14:textId="77777777" w:rsidR="00DB41B7" w:rsidRPr="00B327CE" w:rsidRDefault="00DB41B7" w:rsidP="005908A4">
      <w:pPr>
        <w:spacing w:after="0" w:line="276" w:lineRule="auto"/>
        <w:rPr>
          <w:rFonts w:ascii="Bookman Old Style" w:hAnsi="Bookman Old Style" w:cs="Times New Roman"/>
          <w:sz w:val="24"/>
          <w:szCs w:val="24"/>
          <w:lang w:val="es-MX"/>
        </w:rPr>
      </w:pPr>
    </w:p>
    <w:p w14:paraId="08B8B7D0" w14:textId="77777777" w:rsidR="00DB41B7" w:rsidRPr="00B327CE" w:rsidRDefault="00DB41B7" w:rsidP="005908A4">
      <w:pPr>
        <w:spacing w:after="0" w:line="276" w:lineRule="auto"/>
        <w:rPr>
          <w:rFonts w:ascii="Bookman Old Style" w:hAnsi="Bookman Old Style" w:cs="Times New Roman"/>
          <w:sz w:val="24"/>
          <w:szCs w:val="24"/>
          <w:lang w:val="es-MX"/>
        </w:rPr>
      </w:pPr>
    </w:p>
    <w:p w14:paraId="31705EC3" w14:textId="77777777" w:rsidR="00DB41B7" w:rsidRPr="00B327CE" w:rsidRDefault="00DB41B7" w:rsidP="005908A4">
      <w:pPr>
        <w:spacing w:after="0" w:line="276" w:lineRule="auto"/>
        <w:rPr>
          <w:rFonts w:ascii="Bookman Old Style" w:hAnsi="Bookman Old Style" w:cs="Times New Roman"/>
          <w:sz w:val="24"/>
          <w:szCs w:val="24"/>
          <w:lang w:val="es-MX"/>
        </w:rPr>
      </w:pPr>
      <w:r w:rsidRPr="00B327CE">
        <w:rPr>
          <w:rFonts w:ascii="Bookman Old Style" w:hAnsi="Bookman Old Style" w:cs="Times New Roman"/>
          <w:sz w:val="24"/>
          <w:szCs w:val="24"/>
          <w:lang w:val="es-MX"/>
        </w:rPr>
        <w:t>Honorable Representante</w:t>
      </w:r>
    </w:p>
    <w:p w14:paraId="3EF01B28" w14:textId="77777777" w:rsidR="00DB41B7" w:rsidRPr="00B327CE" w:rsidRDefault="000D7B5B" w:rsidP="005908A4">
      <w:pPr>
        <w:spacing w:after="0" w:line="276" w:lineRule="auto"/>
        <w:rPr>
          <w:rFonts w:ascii="Bookman Old Style" w:hAnsi="Bookman Old Style" w:cs="Times New Roman"/>
          <w:b/>
          <w:sz w:val="24"/>
          <w:szCs w:val="24"/>
          <w:lang w:val="es-MX"/>
        </w:rPr>
      </w:pPr>
      <w:r w:rsidRPr="00B327CE">
        <w:rPr>
          <w:rFonts w:ascii="Bookman Old Style" w:hAnsi="Bookman Old Style" w:cs="Times New Roman"/>
          <w:b/>
          <w:sz w:val="24"/>
          <w:szCs w:val="24"/>
          <w:lang w:val="es-MX"/>
        </w:rPr>
        <w:t>JULIO CÉSAR TRIANA QUINTERO</w:t>
      </w:r>
    </w:p>
    <w:p w14:paraId="1C4EAFD7" w14:textId="77777777" w:rsidR="00227A04" w:rsidRPr="00B327CE" w:rsidRDefault="00DB41B7" w:rsidP="005908A4">
      <w:pPr>
        <w:spacing w:after="0" w:line="276" w:lineRule="auto"/>
        <w:rPr>
          <w:rFonts w:ascii="Bookman Old Style" w:hAnsi="Bookman Old Style" w:cs="Times New Roman"/>
          <w:sz w:val="24"/>
          <w:szCs w:val="24"/>
          <w:lang w:val="es-MX"/>
        </w:rPr>
      </w:pPr>
      <w:r w:rsidRPr="00B327CE">
        <w:rPr>
          <w:rFonts w:ascii="Bookman Old Style" w:hAnsi="Bookman Old Style" w:cs="Times New Roman"/>
          <w:sz w:val="24"/>
          <w:szCs w:val="24"/>
          <w:lang w:val="es-MX"/>
        </w:rPr>
        <w:t xml:space="preserve">Presidente </w:t>
      </w:r>
    </w:p>
    <w:p w14:paraId="11BC8A93" w14:textId="77777777" w:rsidR="00DB41B7" w:rsidRPr="00B327CE" w:rsidRDefault="00DB41B7" w:rsidP="005908A4">
      <w:pPr>
        <w:spacing w:after="0" w:line="276" w:lineRule="auto"/>
        <w:rPr>
          <w:rFonts w:ascii="Bookman Old Style" w:hAnsi="Bookman Old Style" w:cs="Times New Roman"/>
          <w:b/>
          <w:bCs/>
          <w:sz w:val="24"/>
          <w:szCs w:val="24"/>
          <w:lang w:val="es-MX"/>
        </w:rPr>
      </w:pPr>
      <w:r w:rsidRPr="00B327CE">
        <w:rPr>
          <w:rFonts w:ascii="Bookman Old Style" w:hAnsi="Bookman Old Style" w:cs="Times New Roman"/>
          <w:b/>
          <w:bCs/>
          <w:sz w:val="24"/>
          <w:szCs w:val="24"/>
          <w:lang w:val="es-MX"/>
        </w:rPr>
        <w:t>Comisión Primera</w:t>
      </w:r>
      <w:r w:rsidR="00227A04" w:rsidRPr="00B327CE">
        <w:rPr>
          <w:rFonts w:ascii="Bookman Old Style" w:hAnsi="Bookman Old Style" w:cs="Times New Roman"/>
          <w:b/>
          <w:bCs/>
          <w:sz w:val="24"/>
          <w:szCs w:val="24"/>
          <w:lang w:val="es-MX"/>
        </w:rPr>
        <w:t xml:space="preserve"> Constitucional Permanente</w:t>
      </w:r>
    </w:p>
    <w:p w14:paraId="091CD71D" w14:textId="77777777" w:rsidR="00DB41B7" w:rsidRPr="00B327CE" w:rsidRDefault="00DB41B7" w:rsidP="005908A4">
      <w:pPr>
        <w:spacing w:after="0" w:line="276" w:lineRule="auto"/>
        <w:rPr>
          <w:rFonts w:ascii="Bookman Old Style" w:hAnsi="Bookman Old Style" w:cs="Times New Roman"/>
          <w:sz w:val="24"/>
          <w:szCs w:val="24"/>
          <w:lang w:val="es-MX"/>
        </w:rPr>
      </w:pPr>
      <w:r w:rsidRPr="00B327CE">
        <w:rPr>
          <w:rFonts w:ascii="Bookman Old Style" w:hAnsi="Bookman Old Style" w:cs="Times New Roman"/>
          <w:sz w:val="24"/>
          <w:szCs w:val="24"/>
          <w:lang w:val="es-MX"/>
        </w:rPr>
        <w:t>Cámara de Representantes</w:t>
      </w:r>
    </w:p>
    <w:p w14:paraId="32751F5F" w14:textId="3D7006A7" w:rsidR="00227A04" w:rsidRPr="00B327CE" w:rsidRDefault="004D02BE" w:rsidP="005908A4">
      <w:pPr>
        <w:spacing w:after="0" w:line="276" w:lineRule="auto"/>
        <w:rPr>
          <w:rFonts w:ascii="Bookman Old Style" w:hAnsi="Bookman Old Style" w:cs="Times New Roman"/>
          <w:sz w:val="24"/>
          <w:szCs w:val="24"/>
          <w:lang w:val="es-MX"/>
        </w:rPr>
      </w:pPr>
      <w:r>
        <w:rPr>
          <w:rFonts w:ascii="Bookman Old Style" w:hAnsi="Bookman Old Style" w:cs="Times New Roman"/>
          <w:sz w:val="24"/>
          <w:szCs w:val="24"/>
          <w:lang w:val="es-MX"/>
        </w:rPr>
        <w:t>Ciudad</w:t>
      </w:r>
      <w:r w:rsidR="00227A04" w:rsidRPr="00B327CE">
        <w:rPr>
          <w:rFonts w:ascii="Bookman Old Style" w:hAnsi="Bookman Old Style" w:cs="Times New Roman"/>
          <w:sz w:val="24"/>
          <w:szCs w:val="24"/>
          <w:lang w:val="es-MX"/>
        </w:rPr>
        <w:t>.</w:t>
      </w:r>
    </w:p>
    <w:p w14:paraId="52413CF4" w14:textId="77777777" w:rsidR="00DB41B7" w:rsidRPr="00B327CE" w:rsidRDefault="00DB41B7" w:rsidP="005908A4">
      <w:pPr>
        <w:spacing w:after="0" w:line="276" w:lineRule="auto"/>
        <w:rPr>
          <w:rFonts w:ascii="Bookman Old Style" w:hAnsi="Bookman Old Style" w:cs="Times New Roman"/>
          <w:sz w:val="24"/>
          <w:szCs w:val="24"/>
          <w:lang w:val="es-MX"/>
        </w:rPr>
      </w:pPr>
    </w:p>
    <w:p w14:paraId="2BCC3462" w14:textId="77777777" w:rsidR="00DB41B7" w:rsidRPr="00B327CE" w:rsidRDefault="00DB41B7" w:rsidP="005908A4">
      <w:pPr>
        <w:spacing w:after="0" w:line="276" w:lineRule="auto"/>
        <w:rPr>
          <w:rFonts w:ascii="Bookman Old Style" w:hAnsi="Bookman Old Style" w:cs="Times New Roman"/>
          <w:sz w:val="24"/>
          <w:szCs w:val="24"/>
          <w:lang w:val="es-MX"/>
        </w:rPr>
      </w:pPr>
    </w:p>
    <w:p w14:paraId="540261FA" w14:textId="343A1126" w:rsidR="00DB41B7" w:rsidRPr="00B327CE" w:rsidRDefault="000D7B5B" w:rsidP="005908A4">
      <w:pPr>
        <w:spacing w:after="0" w:line="276" w:lineRule="auto"/>
        <w:ind w:left="1416"/>
        <w:jc w:val="both"/>
        <w:rPr>
          <w:rFonts w:ascii="Bookman Old Style" w:hAnsi="Bookman Old Style" w:cs="Times New Roman"/>
          <w:b/>
          <w:bCs/>
          <w:sz w:val="24"/>
          <w:szCs w:val="24"/>
          <w:lang w:val="es-MX"/>
        </w:rPr>
      </w:pPr>
      <w:r w:rsidRPr="00B327CE">
        <w:rPr>
          <w:rFonts w:ascii="Bookman Old Style" w:hAnsi="Bookman Old Style" w:cs="Times New Roman"/>
          <w:b/>
          <w:bCs/>
          <w:sz w:val="24"/>
          <w:szCs w:val="24"/>
          <w:lang w:val="es-MX"/>
        </w:rPr>
        <w:t xml:space="preserve">Referencia: </w:t>
      </w:r>
      <w:r w:rsidR="00DB41B7" w:rsidRPr="00B327CE">
        <w:rPr>
          <w:rFonts w:ascii="Bookman Old Style" w:hAnsi="Bookman Old Style" w:cs="Times New Roman"/>
          <w:b/>
          <w:bCs/>
          <w:sz w:val="24"/>
          <w:szCs w:val="24"/>
          <w:lang w:val="es-MX"/>
        </w:rPr>
        <w:t>Ponencia para primer debate</w:t>
      </w:r>
      <w:r w:rsidR="00B327CE">
        <w:rPr>
          <w:rFonts w:ascii="Bookman Old Style" w:hAnsi="Bookman Old Style" w:cs="Times New Roman"/>
          <w:b/>
          <w:bCs/>
          <w:sz w:val="24"/>
          <w:szCs w:val="24"/>
          <w:lang w:val="es-MX"/>
        </w:rPr>
        <w:t xml:space="preserve"> en primera vuelta</w:t>
      </w:r>
      <w:r w:rsidR="00DB41B7" w:rsidRPr="00B327CE">
        <w:rPr>
          <w:rFonts w:ascii="Bookman Old Style" w:hAnsi="Bookman Old Style" w:cs="Times New Roman"/>
          <w:b/>
          <w:bCs/>
          <w:sz w:val="24"/>
          <w:szCs w:val="24"/>
          <w:lang w:val="es-MX"/>
        </w:rPr>
        <w:t xml:space="preserve"> </w:t>
      </w:r>
      <w:r w:rsidR="009D3106">
        <w:rPr>
          <w:rFonts w:ascii="Bookman Old Style" w:hAnsi="Bookman Old Style" w:cs="Times New Roman"/>
          <w:b/>
          <w:bCs/>
          <w:sz w:val="24"/>
          <w:szCs w:val="24"/>
          <w:lang w:val="es-MX"/>
        </w:rPr>
        <w:t xml:space="preserve">en la Cámara de Representantes </w:t>
      </w:r>
      <w:r w:rsidR="00DB41B7" w:rsidRPr="00B327CE">
        <w:rPr>
          <w:rFonts w:ascii="Bookman Old Style" w:hAnsi="Bookman Old Style" w:cs="Times New Roman"/>
          <w:b/>
          <w:bCs/>
          <w:sz w:val="24"/>
          <w:szCs w:val="24"/>
          <w:lang w:val="es-MX"/>
        </w:rPr>
        <w:t>al Proyecto de Acto Legislativo 366 de 2021 Cámara – 011 de 2021 Senado “por el cual se modifica el artículo 65 de la Constitución Política de Colombia”.</w:t>
      </w:r>
    </w:p>
    <w:p w14:paraId="7A758D82" w14:textId="77777777" w:rsidR="00DB41B7" w:rsidRPr="00B327CE" w:rsidRDefault="00DB41B7" w:rsidP="005908A4">
      <w:pPr>
        <w:spacing w:after="0" w:line="276" w:lineRule="auto"/>
        <w:jc w:val="both"/>
        <w:rPr>
          <w:rFonts w:ascii="Bookman Old Style" w:hAnsi="Bookman Old Style" w:cs="Times New Roman"/>
          <w:sz w:val="24"/>
          <w:szCs w:val="24"/>
          <w:lang w:val="es-MX"/>
        </w:rPr>
      </w:pPr>
    </w:p>
    <w:p w14:paraId="0AC29E54" w14:textId="77777777" w:rsidR="00227A04" w:rsidRPr="00B327CE" w:rsidRDefault="00227A04" w:rsidP="005908A4">
      <w:pPr>
        <w:spacing w:after="0" w:line="276" w:lineRule="auto"/>
        <w:jc w:val="both"/>
        <w:rPr>
          <w:rFonts w:ascii="Bookman Old Style" w:hAnsi="Bookman Old Style" w:cs="Times New Roman"/>
          <w:sz w:val="24"/>
          <w:szCs w:val="24"/>
          <w:lang w:val="es-MX"/>
        </w:rPr>
      </w:pPr>
    </w:p>
    <w:p w14:paraId="6740B7C8" w14:textId="77777777" w:rsidR="00DB41B7" w:rsidRPr="00B327CE" w:rsidRDefault="00227A04"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Respetado Presidente:</w:t>
      </w:r>
    </w:p>
    <w:p w14:paraId="38D7677F" w14:textId="77777777" w:rsidR="00DB41B7" w:rsidRPr="00B327CE" w:rsidRDefault="00DB41B7" w:rsidP="005908A4">
      <w:pPr>
        <w:spacing w:after="0" w:line="276" w:lineRule="auto"/>
        <w:jc w:val="both"/>
        <w:rPr>
          <w:rFonts w:ascii="Bookman Old Style" w:hAnsi="Bookman Old Style" w:cs="Times New Roman"/>
          <w:sz w:val="24"/>
          <w:szCs w:val="24"/>
          <w:lang w:val="es-MX"/>
        </w:rPr>
      </w:pPr>
    </w:p>
    <w:p w14:paraId="3AAA45EF" w14:textId="77777777" w:rsidR="00DB41B7" w:rsidRPr="00B327CE" w:rsidRDefault="00DB41B7" w:rsidP="005908A4">
      <w:pPr>
        <w:spacing w:after="0" w:line="276" w:lineRule="auto"/>
        <w:jc w:val="both"/>
        <w:rPr>
          <w:rFonts w:ascii="Bookman Old Style" w:hAnsi="Bookman Old Style" w:cs="Times New Roman"/>
          <w:sz w:val="24"/>
          <w:szCs w:val="24"/>
          <w:lang w:val="es-ES"/>
        </w:rPr>
      </w:pPr>
      <w:r w:rsidRPr="00B327CE">
        <w:rPr>
          <w:rFonts w:ascii="Bookman Old Style" w:hAnsi="Bookman Old Style" w:cs="Times New Roman"/>
          <w:sz w:val="24"/>
          <w:szCs w:val="24"/>
          <w:lang w:val="es-ES"/>
        </w:rPr>
        <w:t>En cumplimiento de la designación efectuada por la Mesa Directiva de la Comisión Primera de la Cámara de Representantes, en los términos consagrados en la Ley 5ª de 1992, me permito radicar el informe de ponencia positivo al Proyecto de Acto Legislativo de la referencia, el cual consta de los siguientes puntos:</w:t>
      </w:r>
    </w:p>
    <w:p w14:paraId="3149B0A6" w14:textId="77777777" w:rsidR="00DB41B7" w:rsidRPr="00B327CE" w:rsidRDefault="00DB41B7" w:rsidP="005908A4">
      <w:pPr>
        <w:spacing w:after="0" w:line="276" w:lineRule="auto"/>
        <w:jc w:val="both"/>
        <w:rPr>
          <w:rFonts w:ascii="Bookman Old Style" w:hAnsi="Bookman Old Style" w:cs="Times New Roman"/>
          <w:b/>
          <w:sz w:val="24"/>
          <w:szCs w:val="24"/>
          <w:lang w:val="es-ES"/>
        </w:rPr>
      </w:pPr>
    </w:p>
    <w:p w14:paraId="730AAD70" w14:textId="77777777" w:rsidR="00DB41B7" w:rsidRPr="00B327CE" w:rsidRDefault="00DB41B7" w:rsidP="005908A4">
      <w:pPr>
        <w:pStyle w:val="Prrafodelista"/>
        <w:numPr>
          <w:ilvl w:val="0"/>
          <w:numId w:val="1"/>
        </w:numPr>
        <w:spacing w:after="0" w:line="276" w:lineRule="auto"/>
        <w:jc w:val="both"/>
        <w:rPr>
          <w:rFonts w:ascii="Bookman Old Style" w:hAnsi="Bookman Old Style" w:cs="Times New Roman"/>
          <w:b/>
          <w:sz w:val="24"/>
          <w:szCs w:val="24"/>
          <w:lang w:val="es-MX"/>
        </w:rPr>
      </w:pPr>
      <w:r w:rsidRPr="00B327CE">
        <w:rPr>
          <w:rFonts w:ascii="Bookman Old Style" w:hAnsi="Bookman Old Style" w:cs="Times New Roman"/>
          <w:b/>
          <w:sz w:val="24"/>
          <w:szCs w:val="24"/>
          <w:lang w:val="es-MX"/>
        </w:rPr>
        <w:t>Trámite</w:t>
      </w:r>
    </w:p>
    <w:p w14:paraId="7BAC996B" w14:textId="77777777" w:rsidR="00DB41B7" w:rsidRPr="00B327CE" w:rsidRDefault="00DB41B7" w:rsidP="005908A4">
      <w:pPr>
        <w:spacing w:after="0" w:line="276" w:lineRule="auto"/>
        <w:jc w:val="both"/>
        <w:rPr>
          <w:rFonts w:ascii="Bookman Old Style" w:hAnsi="Bookman Old Style" w:cs="Times New Roman"/>
          <w:b/>
          <w:sz w:val="24"/>
          <w:szCs w:val="24"/>
          <w:lang w:val="es-MX"/>
        </w:rPr>
      </w:pPr>
    </w:p>
    <w:p w14:paraId="2786A844" w14:textId="77777777" w:rsidR="00DB41B7" w:rsidRPr="00B327CE" w:rsidRDefault="00DB41B7"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lang w:val="es-MX"/>
        </w:rPr>
        <w:lastRenderedPageBreak/>
        <w:t>El presente Proyecto de Acto Legislativo fue radicado</w:t>
      </w:r>
      <w:r w:rsidR="000D7B5B" w:rsidRPr="00B327CE">
        <w:rPr>
          <w:rFonts w:ascii="Bookman Old Style" w:hAnsi="Bookman Old Style" w:cs="Times New Roman"/>
          <w:sz w:val="24"/>
          <w:szCs w:val="24"/>
          <w:lang w:val="es-MX"/>
        </w:rPr>
        <w:t xml:space="preserve"> ante la Secretaría General del Senado de la República,</w:t>
      </w:r>
      <w:r w:rsidRPr="00B327CE">
        <w:rPr>
          <w:rFonts w:ascii="Bookman Old Style" w:hAnsi="Bookman Old Style" w:cs="Times New Roman"/>
          <w:sz w:val="24"/>
          <w:szCs w:val="24"/>
          <w:lang w:val="es-MX"/>
        </w:rPr>
        <w:t xml:space="preserve"> el pasado 27 de julio de 2021</w:t>
      </w:r>
      <w:r w:rsidR="000D7B5B" w:rsidRPr="00B327CE">
        <w:rPr>
          <w:rFonts w:ascii="Bookman Old Style" w:hAnsi="Bookman Old Style" w:cs="Times New Roman"/>
          <w:sz w:val="24"/>
          <w:szCs w:val="24"/>
          <w:lang w:val="es-MX"/>
        </w:rPr>
        <w:t>,</w:t>
      </w:r>
      <w:r w:rsidRPr="00B327CE">
        <w:rPr>
          <w:rFonts w:ascii="Bookman Old Style" w:hAnsi="Bookman Old Style" w:cs="Times New Roman"/>
          <w:sz w:val="24"/>
          <w:szCs w:val="24"/>
          <w:lang w:val="es-MX"/>
        </w:rPr>
        <w:t xml:space="preserve"> por los Honorables Senadores: </w:t>
      </w:r>
      <w:r w:rsidRPr="00B327CE">
        <w:rPr>
          <w:rFonts w:ascii="Bookman Old Style" w:hAnsi="Bookman Old Style" w:cs="Times New Roman"/>
          <w:sz w:val="24"/>
          <w:szCs w:val="24"/>
        </w:rPr>
        <w:t xml:space="preserve">Maritza Martínez </w:t>
      </w:r>
      <w:proofErr w:type="spellStart"/>
      <w:r w:rsidRPr="00B327CE">
        <w:rPr>
          <w:rFonts w:ascii="Bookman Old Style" w:hAnsi="Bookman Old Style" w:cs="Times New Roman"/>
          <w:sz w:val="24"/>
          <w:szCs w:val="24"/>
        </w:rPr>
        <w:t>Aristizábal</w:t>
      </w:r>
      <w:proofErr w:type="spellEnd"/>
      <w:r w:rsidRPr="00B327CE">
        <w:rPr>
          <w:rFonts w:ascii="Bookman Old Style" w:hAnsi="Bookman Old Style" w:cs="Times New Roman"/>
          <w:sz w:val="24"/>
          <w:szCs w:val="24"/>
        </w:rPr>
        <w:t xml:space="preserve">, </w:t>
      </w:r>
      <w:proofErr w:type="spellStart"/>
      <w:r w:rsidRPr="00B327CE">
        <w:rPr>
          <w:rFonts w:ascii="Bookman Old Style" w:hAnsi="Bookman Old Style" w:cs="Times New Roman"/>
          <w:sz w:val="24"/>
          <w:szCs w:val="24"/>
        </w:rPr>
        <w:t>Roosvelt</w:t>
      </w:r>
      <w:proofErr w:type="spellEnd"/>
      <w:r w:rsidRPr="00B327CE">
        <w:rPr>
          <w:rFonts w:ascii="Bookman Old Style" w:hAnsi="Bookman Old Style" w:cs="Times New Roman"/>
          <w:sz w:val="24"/>
          <w:szCs w:val="24"/>
        </w:rPr>
        <w:t xml:space="preserve"> Rodríguez Rengifo, Roy Leonardo Barreras Montealegre, Emma Claudia Castellanos, Daira de Jesús Galvis Méndez, Juan Felipe Lemos Uribe, Juan Diego Gómez Jiménez, Rodrigo Villalba Mosquera, Iván Darío Agudelo Zapata</w:t>
      </w:r>
      <w:r w:rsidR="000D7B5B" w:rsidRPr="00B327CE">
        <w:rPr>
          <w:rFonts w:ascii="Bookman Old Style" w:hAnsi="Bookman Old Style" w:cs="Times New Roman"/>
          <w:sz w:val="24"/>
          <w:szCs w:val="24"/>
        </w:rPr>
        <w:t xml:space="preserve"> y</w:t>
      </w:r>
      <w:r w:rsidRPr="00B327CE">
        <w:rPr>
          <w:rFonts w:ascii="Bookman Old Style" w:hAnsi="Bookman Old Style" w:cs="Times New Roman"/>
          <w:sz w:val="24"/>
          <w:szCs w:val="24"/>
        </w:rPr>
        <w:t xml:space="preserve"> Guillermo García Realp</w:t>
      </w:r>
      <w:r w:rsidR="000D7B5B" w:rsidRPr="00B327CE">
        <w:rPr>
          <w:rFonts w:ascii="Bookman Old Style" w:hAnsi="Bookman Old Style" w:cs="Times New Roman"/>
          <w:sz w:val="24"/>
          <w:szCs w:val="24"/>
        </w:rPr>
        <w:t>e, siendo posteriormente publicado en la Gaceta del Congreso No. 1001 de 2021 de fecha 13 de agosto de 2021.</w:t>
      </w:r>
    </w:p>
    <w:p w14:paraId="73F1FF0F" w14:textId="77777777" w:rsidR="000D7B5B" w:rsidRPr="00B327CE" w:rsidRDefault="000D7B5B" w:rsidP="005908A4">
      <w:pPr>
        <w:spacing w:after="0" w:line="276" w:lineRule="auto"/>
        <w:jc w:val="both"/>
        <w:rPr>
          <w:rFonts w:ascii="Bookman Old Style" w:hAnsi="Bookman Old Style" w:cs="Times New Roman"/>
          <w:sz w:val="24"/>
          <w:szCs w:val="24"/>
          <w:lang w:val="es-MX"/>
        </w:rPr>
      </w:pPr>
    </w:p>
    <w:p w14:paraId="25D2D1CB" w14:textId="77777777" w:rsidR="000D7B5B" w:rsidRPr="00B327CE" w:rsidRDefault="000D7B5B"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Para su primer debate, fue designado el Honorable Senador Roosvelt Rodríguez Rengifo como ponente, siendo publicada la ponencia correspondiente en la Gaceta del Congreso No. 1213 del 14 de septiembre de 2021 y posteriormente siendo aprobada el pasado 13 de octubre de 2021 en la Comisión Primera del Senado de la República con las mayorías requeridas para este tipo de proyectos en primera vuelta.</w:t>
      </w:r>
    </w:p>
    <w:p w14:paraId="23C72F97" w14:textId="77777777" w:rsidR="000D7B5B" w:rsidRPr="00B327CE" w:rsidRDefault="000D7B5B" w:rsidP="005908A4">
      <w:pPr>
        <w:spacing w:after="0" w:line="276" w:lineRule="auto"/>
        <w:jc w:val="both"/>
        <w:rPr>
          <w:rFonts w:ascii="Bookman Old Style" w:hAnsi="Bookman Old Style" w:cs="Times New Roman"/>
          <w:sz w:val="24"/>
          <w:szCs w:val="24"/>
          <w:lang w:val="es-MX"/>
        </w:rPr>
      </w:pPr>
    </w:p>
    <w:p w14:paraId="2B797B57" w14:textId="77777777" w:rsidR="000D7B5B" w:rsidRPr="00B327CE" w:rsidRDefault="000D7B5B"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Para su segundo debate, fue designado nuevamente el Honorable Senador Roosvelt Rodríguez Rengifo, quien presentó ponencia positiva, siendo debidamente publicada en la Gaceta del Congreso No.1505 del 21 de octubre de 2021, siendo discutida y aprobada en Plenaria del Senado de la República el pasado 27 de octubre de 2021.</w:t>
      </w:r>
    </w:p>
    <w:p w14:paraId="6E7D7705" w14:textId="77777777" w:rsidR="000D7B5B" w:rsidRPr="00B327CE" w:rsidRDefault="000D7B5B" w:rsidP="005908A4">
      <w:pPr>
        <w:spacing w:after="0" w:line="276" w:lineRule="auto"/>
        <w:jc w:val="both"/>
        <w:rPr>
          <w:rFonts w:ascii="Bookman Old Style" w:hAnsi="Bookman Old Style" w:cs="Times New Roman"/>
          <w:sz w:val="24"/>
          <w:szCs w:val="24"/>
          <w:lang w:val="es-MX"/>
        </w:rPr>
      </w:pPr>
    </w:p>
    <w:p w14:paraId="5E4BE06B" w14:textId="77777777" w:rsidR="000D7B5B" w:rsidRPr="00B327CE" w:rsidRDefault="000D7B5B"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El día 11 de noviembre de 2021 fue remitido a Comisión Primera el expediente por parte de la Secretaría General de la Cámara de Representantes, siendo designado por la Mesa Directiva</w:t>
      </w:r>
      <w:r w:rsidR="00227A04" w:rsidRPr="00B327CE">
        <w:rPr>
          <w:rFonts w:ascii="Bookman Old Style" w:hAnsi="Bookman Old Style" w:cs="Times New Roman"/>
          <w:sz w:val="24"/>
          <w:szCs w:val="24"/>
          <w:lang w:val="es-MX"/>
        </w:rPr>
        <w:t xml:space="preserve"> como ponente.</w:t>
      </w:r>
    </w:p>
    <w:p w14:paraId="1FED4E67" w14:textId="77777777" w:rsidR="00227A04" w:rsidRPr="00B327CE" w:rsidRDefault="00227A04" w:rsidP="005908A4">
      <w:pPr>
        <w:spacing w:after="0" w:line="276" w:lineRule="auto"/>
        <w:jc w:val="both"/>
        <w:rPr>
          <w:rFonts w:ascii="Bookman Old Style" w:hAnsi="Bookman Old Style" w:cs="Times New Roman"/>
          <w:b/>
          <w:sz w:val="24"/>
          <w:szCs w:val="24"/>
          <w:lang w:val="es-MX"/>
        </w:rPr>
      </w:pPr>
    </w:p>
    <w:p w14:paraId="6DE57D9D" w14:textId="77777777" w:rsidR="00227A04" w:rsidRPr="00B327CE" w:rsidRDefault="00227A04" w:rsidP="005908A4">
      <w:pPr>
        <w:pStyle w:val="Prrafodelista"/>
        <w:numPr>
          <w:ilvl w:val="0"/>
          <w:numId w:val="1"/>
        </w:numPr>
        <w:spacing w:after="0" w:line="276" w:lineRule="auto"/>
        <w:jc w:val="both"/>
        <w:rPr>
          <w:rFonts w:ascii="Bookman Old Style" w:hAnsi="Bookman Old Style" w:cs="Times New Roman"/>
          <w:b/>
          <w:sz w:val="24"/>
          <w:szCs w:val="24"/>
          <w:lang w:val="es-MX"/>
        </w:rPr>
      </w:pPr>
      <w:r w:rsidRPr="00B327CE">
        <w:rPr>
          <w:rFonts w:ascii="Bookman Old Style" w:hAnsi="Bookman Old Style" w:cs="Times New Roman"/>
          <w:b/>
          <w:sz w:val="24"/>
          <w:szCs w:val="24"/>
          <w:lang w:val="es-MX"/>
        </w:rPr>
        <w:t>Objeto y contenido del proyecto:</w:t>
      </w:r>
    </w:p>
    <w:p w14:paraId="1810D2B8" w14:textId="77777777" w:rsidR="00227A04" w:rsidRPr="00B327CE" w:rsidRDefault="00227A04" w:rsidP="005908A4">
      <w:pPr>
        <w:spacing w:after="0" w:line="276" w:lineRule="auto"/>
        <w:jc w:val="both"/>
        <w:rPr>
          <w:rFonts w:ascii="Bookman Old Style" w:hAnsi="Bookman Old Style" w:cs="Times New Roman"/>
          <w:sz w:val="24"/>
          <w:szCs w:val="24"/>
          <w:lang w:val="es-MX"/>
        </w:rPr>
      </w:pPr>
    </w:p>
    <w:p w14:paraId="587098DC"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El Proyecto de Acto Legislativo 366 de 2021 Cámara – 011 de 2021 Senado tiene por objeto establecer la obligación del Estado de dirigir sus políticas hacia el aseguramiento del derecho a la alimentación, a estar protegido contra el hambre y la desnutrición, a la soberanía alimentaria y a la seguridad alimentaria de su población, ambos conceptos intrínsecamente ligados al derecho a la alimentación. Así mismo, plantea la obligación de que el Estado defina una estrategia a través de la cual se acompañe a las cadenas de producción y distribución nacional de alimentos, en aras de </w:t>
      </w:r>
      <w:r w:rsidRPr="00B327CE">
        <w:rPr>
          <w:rFonts w:ascii="Bookman Old Style" w:eastAsia="Times New Roman" w:hAnsi="Bookman Old Style" w:cs="Times New Roman"/>
          <w:sz w:val="24"/>
          <w:szCs w:val="24"/>
        </w:rPr>
        <w:lastRenderedPageBreak/>
        <w:t>cerrar las brechas que inciden en su eficiencia, y que al tiempo aborde el fenómeno de la pérdida de estos.</w:t>
      </w:r>
    </w:p>
    <w:p w14:paraId="72A51CB7"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434B8ECB"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Al respecto, es necesario mencionar que dicha prerrogativa, así como los conceptos de soberanía alimentaria y seguridad alimentaria, se encuentra consagrada en sendos instrumentos internacionales ratificados por el Estado colombiano</w:t>
      </w:r>
      <w:r w:rsidRPr="00B327CE">
        <w:rPr>
          <w:rFonts w:ascii="Bookman Old Style" w:eastAsia="Times New Roman" w:hAnsi="Bookman Old Style" w:cs="Times New Roman"/>
          <w:sz w:val="24"/>
          <w:szCs w:val="24"/>
          <w:vertAlign w:val="superscript"/>
        </w:rPr>
        <w:footnoteReference w:id="1"/>
      </w:r>
      <w:r w:rsidRPr="00B327CE">
        <w:rPr>
          <w:rFonts w:ascii="Bookman Old Style" w:eastAsia="Times New Roman" w:hAnsi="Bookman Old Style" w:cs="Times New Roman"/>
          <w:sz w:val="24"/>
          <w:szCs w:val="24"/>
        </w:rPr>
        <w:t xml:space="preserve"> y, adicionalmente, se pretende dar cumplimiento a obligaciones internacionales que el Estado colombiano ha adquirido y que se encuentran en completa consonancia con lo consagrado en el ordenamiento interno en virtud de lo establecido en diversas disposiciones constitucionales y en particular con lo dispuesto en el artículo 93 de la Constitución Política de 1991.</w:t>
      </w:r>
    </w:p>
    <w:p w14:paraId="44B1D464"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752DE794" w14:textId="77777777" w:rsidR="00227A04" w:rsidRPr="00B327CE" w:rsidRDefault="00227A04" w:rsidP="005908A4">
      <w:pPr>
        <w:pStyle w:val="Prrafodelista"/>
        <w:numPr>
          <w:ilvl w:val="0"/>
          <w:numId w:val="1"/>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Justificación</w:t>
      </w:r>
    </w:p>
    <w:p w14:paraId="7D19FE24"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6937A223" w14:textId="77777777" w:rsidR="000A4E2B" w:rsidRPr="00B327CE" w:rsidRDefault="000A4E2B"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De acuerdo con el más reciente informe del estado de la seguridad alimentaria y la nutrición en el mundo (2021)</w:t>
      </w:r>
      <w:r w:rsidRPr="00B327CE">
        <w:rPr>
          <w:rStyle w:val="Refdenotaalpie"/>
          <w:rFonts w:ascii="Bookman Old Style" w:eastAsia="Times New Roman" w:hAnsi="Bookman Old Style" w:cs="Times New Roman"/>
          <w:sz w:val="24"/>
          <w:szCs w:val="24"/>
        </w:rPr>
        <w:footnoteReference w:id="2"/>
      </w:r>
      <w:r w:rsidRPr="00B327CE">
        <w:rPr>
          <w:rFonts w:ascii="Bookman Old Style" w:eastAsia="Times New Roman" w:hAnsi="Bookman Old Style" w:cs="Times New Roman"/>
          <w:sz w:val="24"/>
          <w:szCs w:val="24"/>
        </w:rPr>
        <w:t xml:space="preserve"> realizado por FAO, IFAD, Unicef, el Programa Mundial de Alimentos y la Organización Mundial de la Salud, el 9.9% de la población global se encuentra en condiciones de prevalencia de subalimentación, las cuales se incrementaron en 1,5 puntos porcentuales entre el periodo 2019 y 2020. Estas cifras, de acuerdo con lo señalado en el informe, dificultan el cumplimiento del ODS 2: Hambre cero a 2030</w:t>
      </w:r>
      <w:r w:rsidR="002E0711" w:rsidRPr="00B327CE">
        <w:rPr>
          <w:rFonts w:ascii="Bookman Old Style" w:eastAsia="Times New Roman" w:hAnsi="Bookman Old Style" w:cs="Times New Roman"/>
          <w:sz w:val="24"/>
          <w:szCs w:val="24"/>
        </w:rPr>
        <w:t xml:space="preserve"> y, en general, de ninguna de las metas e indicadores en materia de nutrición para dicho año.</w:t>
      </w:r>
    </w:p>
    <w:p w14:paraId="16540AAF" w14:textId="77777777" w:rsidR="000A4E2B" w:rsidRPr="00B327CE" w:rsidRDefault="000A4E2B" w:rsidP="005908A4">
      <w:pPr>
        <w:spacing w:after="0" w:line="276" w:lineRule="auto"/>
        <w:jc w:val="both"/>
        <w:rPr>
          <w:rFonts w:ascii="Bookman Old Style" w:eastAsia="Times New Roman" w:hAnsi="Bookman Old Style" w:cs="Times New Roman"/>
          <w:sz w:val="24"/>
          <w:szCs w:val="24"/>
        </w:rPr>
      </w:pPr>
    </w:p>
    <w:p w14:paraId="312A999E" w14:textId="77777777" w:rsidR="000A4E2B" w:rsidRPr="00B327CE" w:rsidRDefault="000A4E2B"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lastRenderedPageBreak/>
        <w:t>Ahora bien, en lo que respecta a la prevalencia mundial de la inseguridad alimentaria moderada o grave, es necesario señalar que el informe indica que ésta ha venido mostrando una tendencia creciente desde el año 2014, pero que el aumento estimado tan solo en el 2020 equivale a la suma de los cinco años inmediatamente anteriores. Así las cosas, se concluye que en 2020 alrededor de una de cada tres personas en el mundo (2.730 millones) careció del acceso a alimentos adecuados</w:t>
      </w:r>
      <w:r w:rsidR="002E0711" w:rsidRPr="00B327CE">
        <w:rPr>
          <w:rFonts w:ascii="Bookman Old Style" w:eastAsia="Times New Roman" w:hAnsi="Bookman Old Style" w:cs="Times New Roman"/>
          <w:sz w:val="24"/>
          <w:szCs w:val="24"/>
        </w:rPr>
        <w:t>, mayoritariamente pertenecientes a las regiones de África, Asia y América Latina y el Caribe.</w:t>
      </w:r>
    </w:p>
    <w:p w14:paraId="4A540529" w14:textId="77777777" w:rsidR="002E0711" w:rsidRPr="00B327CE" w:rsidRDefault="002E0711" w:rsidP="005908A4">
      <w:pPr>
        <w:spacing w:after="0" w:line="276" w:lineRule="auto"/>
        <w:jc w:val="both"/>
        <w:rPr>
          <w:rFonts w:ascii="Bookman Old Style" w:eastAsia="Times New Roman" w:hAnsi="Bookman Old Style" w:cs="Times New Roman"/>
          <w:sz w:val="24"/>
          <w:szCs w:val="24"/>
        </w:rPr>
      </w:pPr>
    </w:p>
    <w:p w14:paraId="1456C9AB" w14:textId="77777777" w:rsidR="002E0711" w:rsidRPr="00B327CE" w:rsidRDefault="002E0711"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Colombia carecemos de mediciones periódicas recurrentes que permitan evaluar constantemente el desempeño del país en prevención de la inseguridad alimentaria</w:t>
      </w:r>
      <w:r w:rsidRPr="00B327CE">
        <w:rPr>
          <w:rStyle w:val="Refdenotaalpie"/>
          <w:rFonts w:ascii="Bookman Old Style" w:eastAsia="Times New Roman" w:hAnsi="Bookman Old Style" w:cs="Times New Roman"/>
          <w:sz w:val="24"/>
          <w:szCs w:val="24"/>
        </w:rPr>
        <w:footnoteReference w:id="3"/>
      </w:r>
      <w:r w:rsidR="00315CEA" w:rsidRPr="00B327CE">
        <w:rPr>
          <w:rFonts w:ascii="Bookman Old Style" w:eastAsia="Times New Roman" w:hAnsi="Bookman Old Style" w:cs="Times New Roman"/>
          <w:sz w:val="24"/>
          <w:szCs w:val="24"/>
        </w:rPr>
        <w:t>, recientemente el DANE ha empezado a inquirir en la Encuesta Pulso Social sobre el acceso que tienen los hogares seleccionados para el ejercicio estadístico sobre el acceso a las tres comidas diarias antes del inicio de las medidas de contención de la pandemia en marzo de 2020, y durante el trimestre estudiado. De acuerdo con la encuesta elaborada para el periodo julio-septiembre de 2021,</w:t>
      </w:r>
      <w:r w:rsidRPr="00B327CE">
        <w:rPr>
          <w:rFonts w:ascii="Bookman Old Style" w:eastAsia="Times New Roman" w:hAnsi="Bookman Old Style" w:cs="Times New Roman"/>
          <w:sz w:val="24"/>
          <w:szCs w:val="24"/>
        </w:rPr>
        <w:t xml:space="preserve"> se</w:t>
      </w:r>
      <w:r w:rsidR="00315CEA" w:rsidRPr="00B327CE">
        <w:rPr>
          <w:rFonts w:ascii="Bookman Old Style" w:eastAsia="Times New Roman" w:hAnsi="Bookman Old Style" w:cs="Times New Roman"/>
          <w:sz w:val="24"/>
          <w:szCs w:val="24"/>
        </w:rPr>
        <w:t xml:space="preserve"> concluyó que</w:t>
      </w:r>
      <w:r w:rsidRPr="00B327CE">
        <w:rPr>
          <w:rFonts w:ascii="Bookman Old Style" w:eastAsia="Times New Roman" w:hAnsi="Bookman Old Style" w:cs="Times New Roman"/>
          <w:sz w:val="24"/>
          <w:szCs w:val="24"/>
        </w:rPr>
        <w:t xml:space="preserve"> previo al inicio de la pandemia, el 91,3% de los hogares encuestados se encontraban en capacidad de acceder a ellas</w:t>
      </w:r>
      <w:r w:rsidR="00315CEA"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rPr>
        <w:t xml:space="preserve"> mientras que, durante e</w:t>
      </w:r>
      <w:r w:rsidR="00315CEA" w:rsidRPr="00B327CE">
        <w:rPr>
          <w:rFonts w:ascii="Bookman Old Style" w:eastAsia="Times New Roman" w:hAnsi="Bookman Old Style" w:cs="Times New Roman"/>
          <w:sz w:val="24"/>
          <w:szCs w:val="24"/>
        </w:rPr>
        <w:t xml:space="preserve">l </w:t>
      </w:r>
      <w:r w:rsidRPr="00B327CE">
        <w:rPr>
          <w:rFonts w:ascii="Bookman Old Style" w:eastAsia="Times New Roman" w:hAnsi="Bookman Old Style" w:cs="Times New Roman"/>
          <w:sz w:val="24"/>
          <w:szCs w:val="24"/>
        </w:rPr>
        <w:t>trimestre solo el 70% pudieron tener los alimentos suficientes para contar con una alimentación adecuada</w:t>
      </w:r>
      <w:r w:rsidR="00315CEA" w:rsidRPr="00B327CE">
        <w:rPr>
          <w:rFonts w:ascii="Bookman Old Style" w:eastAsia="Times New Roman" w:hAnsi="Bookman Old Style" w:cs="Times New Roman"/>
          <w:sz w:val="24"/>
          <w:szCs w:val="24"/>
        </w:rPr>
        <w:t>,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p>
    <w:p w14:paraId="60835B71" w14:textId="77777777" w:rsidR="00227A04" w:rsidRPr="00B327CE" w:rsidRDefault="00227A04" w:rsidP="005908A4">
      <w:pPr>
        <w:spacing w:after="0" w:line="276" w:lineRule="auto"/>
        <w:jc w:val="both"/>
        <w:rPr>
          <w:rFonts w:ascii="Bookman Old Style" w:eastAsia="Times New Roman" w:hAnsi="Bookman Old Style" w:cs="Times New Roman"/>
          <w:b/>
          <w:sz w:val="24"/>
          <w:szCs w:val="24"/>
        </w:rPr>
      </w:pPr>
    </w:p>
    <w:p w14:paraId="2A57F257" w14:textId="77777777" w:rsidR="00227A04" w:rsidRPr="00B327CE" w:rsidRDefault="00227A04" w:rsidP="005908A4">
      <w:pPr>
        <w:pStyle w:val="Prrafodelista"/>
        <w:numPr>
          <w:ilvl w:val="0"/>
          <w:numId w:val="1"/>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Contexto normativo</w:t>
      </w:r>
    </w:p>
    <w:p w14:paraId="0AF8C9DA" w14:textId="77777777" w:rsidR="002E0711" w:rsidRPr="00B327CE" w:rsidRDefault="002E0711" w:rsidP="005908A4">
      <w:pPr>
        <w:spacing w:after="0" w:line="276" w:lineRule="auto"/>
        <w:ind w:left="360"/>
        <w:jc w:val="both"/>
        <w:rPr>
          <w:rFonts w:ascii="Bookman Old Style" w:eastAsia="Times New Roman" w:hAnsi="Bookman Old Style" w:cs="Times New Roman"/>
          <w:b/>
          <w:sz w:val="24"/>
          <w:szCs w:val="24"/>
        </w:rPr>
      </w:pPr>
    </w:p>
    <w:p w14:paraId="0564664C" w14:textId="77777777" w:rsidR="00227A04" w:rsidRPr="00B327CE" w:rsidRDefault="00227A04" w:rsidP="005908A4">
      <w:pPr>
        <w:numPr>
          <w:ilvl w:val="0"/>
          <w:numId w:val="5"/>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Marco jurídico internacional que soporta la medida.</w:t>
      </w:r>
    </w:p>
    <w:p w14:paraId="77B52AA0" w14:textId="77777777" w:rsidR="00227A04" w:rsidRPr="00B327CE" w:rsidRDefault="00227A04" w:rsidP="005908A4">
      <w:pPr>
        <w:spacing w:after="0" w:line="276" w:lineRule="auto"/>
        <w:jc w:val="both"/>
        <w:rPr>
          <w:rFonts w:ascii="Bookman Old Style" w:eastAsia="Times New Roman" w:hAnsi="Bookman Old Style" w:cs="Times New Roman"/>
          <w:b/>
          <w:sz w:val="24"/>
          <w:szCs w:val="24"/>
        </w:rPr>
      </w:pPr>
    </w:p>
    <w:p w14:paraId="7C314517" w14:textId="77777777" w:rsidR="00227A04" w:rsidRPr="00B327CE" w:rsidRDefault="00227A04" w:rsidP="005908A4">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color w:val="000000"/>
          <w:sz w:val="24"/>
          <w:szCs w:val="24"/>
        </w:rPr>
      </w:pPr>
      <w:r w:rsidRPr="00B327CE">
        <w:rPr>
          <w:rFonts w:ascii="Bookman Old Style" w:eastAsia="Times New Roman" w:hAnsi="Bookman Old Style" w:cs="Times New Roman"/>
          <w:b/>
          <w:color w:val="000000"/>
          <w:sz w:val="24"/>
          <w:szCs w:val="24"/>
        </w:rPr>
        <w:lastRenderedPageBreak/>
        <w:t>Referencia al Sistema Internacional de los Derechos Humanos y al Derecho Humano a la Alimentación</w:t>
      </w:r>
    </w:p>
    <w:p w14:paraId="0934850F" w14:textId="77777777" w:rsidR="00227A04" w:rsidRPr="00B327CE" w:rsidRDefault="00227A04" w:rsidP="005908A4">
      <w:pPr>
        <w:spacing w:after="0" w:line="276" w:lineRule="auto"/>
        <w:jc w:val="both"/>
        <w:rPr>
          <w:rFonts w:ascii="Bookman Old Style" w:eastAsia="Times New Roman" w:hAnsi="Bookman Old Style" w:cs="Times New Roman"/>
          <w:b/>
          <w:sz w:val="24"/>
          <w:szCs w:val="24"/>
        </w:rPr>
      </w:pPr>
    </w:p>
    <w:p w14:paraId="3EE1541C"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Los Derechos Humanos se constituyen como aquellas prerrogativas que resultan ser inherentes al ser humano en tanto miembro perteneciente a la especie. El goce de los mismos debe garantizarse y protegerse sin distinción alguna de nacionalidad, lugar de residencia, sexo, origen nacional o étnico, color, religión, lengua, o cualquier otra condición</w:t>
      </w:r>
      <w:r w:rsidRPr="00B327CE">
        <w:rPr>
          <w:rFonts w:ascii="Bookman Old Style" w:eastAsia="Times New Roman" w:hAnsi="Bookman Old Style" w:cs="Times New Roman"/>
          <w:sz w:val="24"/>
          <w:szCs w:val="24"/>
          <w:vertAlign w:val="superscript"/>
        </w:rPr>
        <w:footnoteReference w:id="4"/>
      </w:r>
      <w:r w:rsidRPr="00B327CE">
        <w:rPr>
          <w:rFonts w:ascii="Bookman Old Style" w:eastAsia="Times New Roman" w:hAnsi="Bookman Old Style" w:cs="Times New Roman"/>
          <w:sz w:val="24"/>
          <w:szCs w:val="24"/>
        </w:rPr>
        <w:t>. De esta forma, todo ser humano es titular y debe gozar de estos derechos en igualdad y sin discriminación</w:t>
      </w:r>
      <w:r w:rsidRPr="00B327CE">
        <w:rPr>
          <w:rFonts w:ascii="Bookman Old Style" w:eastAsia="Times New Roman" w:hAnsi="Bookman Old Style" w:cs="Times New Roman"/>
          <w:sz w:val="24"/>
          <w:szCs w:val="24"/>
          <w:vertAlign w:val="superscript"/>
        </w:rPr>
        <w:footnoteReference w:id="5"/>
      </w:r>
      <w:r w:rsidRPr="00B327CE">
        <w:rPr>
          <w:rFonts w:ascii="Bookman Old Style" w:eastAsia="Times New Roman" w:hAnsi="Bookman Old Style" w:cs="Times New Roman"/>
          <w:sz w:val="24"/>
          <w:szCs w:val="24"/>
        </w:rPr>
        <w:t>. Estos derechos son universales</w:t>
      </w:r>
      <w:r w:rsidRPr="00B327CE">
        <w:rPr>
          <w:rFonts w:ascii="Bookman Old Style" w:eastAsia="Times New Roman" w:hAnsi="Bookman Old Style" w:cs="Times New Roman"/>
          <w:sz w:val="24"/>
          <w:szCs w:val="24"/>
          <w:vertAlign w:val="superscript"/>
        </w:rPr>
        <w:footnoteReference w:id="6"/>
      </w:r>
      <w:r w:rsidRPr="00B327CE">
        <w:rPr>
          <w:rFonts w:ascii="Bookman Old Style" w:eastAsia="Times New Roman" w:hAnsi="Bookman Old Style" w:cs="Times New Roman"/>
          <w:sz w:val="24"/>
          <w:szCs w:val="24"/>
        </w:rPr>
        <w:t xml:space="preserve"> e inalienables</w:t>
      </w:r>
      <w:r w:rsidRPr="00B327CE">
        <w:rPr>
          <w:rFonts w:ascii="Bookman Old Style" w:eastAsia="Times New Roman" w:hAnsi="Bookman Old Style" w:cs="Times New Roman"/>
          <w:sz w:val="24"/>
          <w:szCs w:val="24"/>
          <w:vertAlign w:val="superscript"/>
        </w:rPr>
        <w:footnoteReference w:id="7"/>
      </w:r>
      <w:r w:rsidRPr="00B327CE">
        <w:rPr>
          <w:rFonts w:ascii="Bookman Old Style" w:eastAsia="Times New Roman" w:hAnsi="Bookman Old Style" w:cs="Times New Roman"/>
          <w:sz w:val="24"/>
          <w:szCs w:val="24"/>
        </w:rPr>
        <w:t>. Así mismo, se consideran en todo caso interrelacionados, interdependientes e indivisibles</w:t>
      </w:r>
      <w:r w:rsidRPr="00B327CE">
        <w:rPr>
          <w:rFonts w:ascii="Bookman Old Style" w:eastAsia="Times New Roman" w:hAnsi="Bookman Old Style" w:cs="Times New Roman"/>
          <w:sz w:val="24"/>
          <w:szCs w:val="24"/>
          <w:vertAlign w:val="superscript"/>
        </w:rPr>
        <w:footnoteReference w:id="8"/>
      </w:r>
      <w:r w:rsidRPr="00B327CE">
        <w:rPr>
          <w:rFonts w:ascii="Bookman Old Style" w:eastAsia="Times New Roman" w:hAnsi="Bookman Old Style" w:cs="Times New Roman"/>
          <w:sz w:val="24"/>
          <w:szCs w:val="24"/>
        </w:rPr>
        <w:t>. Ahora, pese a estar contemplados en la denominada Carta Internacional de los Derechos Humanos</w:t>
      </w:r>
      <w:r w:rsidRPr="00B327CE">
        <w:rPr>
          <w:rFonts w:ascii="Bookman Old Style" w:eastAsia="Times New Roman" w:hAnsi="Bookman Old Style" w:cs="Times New Roman"/>
          <w:sz w:val="24"/>
          <w:szCs w:val="24"/>
          <w:vertAlign w:val="superscript"/>
        </w:rPr>
        <w:footnoteReference w:id="9"/>
      </w:r>
      <w:r w:rsidRPr="00B327CE">
        <w:rPr>
          <w:rFonts w:ascii="Bookman Old Style" w:eastAsia="Times New Roman" w:hAnsi="Bookman Old Style" w:cs="Times New Roman"/>
          <w:sz w:val="24"/>
          <w:szCs w:val="24"/>
        </w:rPr>
        <w:t xml:space="preserve">, compuesta por la Declaración Universal de los Derechos Humanos de 1948 y por los sucesivos Pactos a los que se hará referencia a continuación, doctrinalmente, los Derechos Humanos se han categorizado  en tres grupos, a saber: Derechos Civiles y Políticos o de primera generación, los cuales se encuentran contenidos tanto en la Declaración Universal de los Derechos Humanos de 1948, de manera </w:t>
      </w:r>
      <w:r w:rsidRPr="00B327CE">
        <w:rPr>
          <w:rFonts w:ascii="Bookman Old Style" w:eastAsia="Times New Roman" w:hAnsi="Bookman Old Style" w:cs="Times New Roman"/>
          <w:sz w:val="24"/>
          <w:szCs w:val="24"/>
        </w:rPr>
        <w:lastRenderedPageBreak/>
        <w:t xml:space="preserve">general, como en el Pacto Internacional de Derechos Civiles y Políticos de 1966; Derechos Económicos, Sociales y Culturales o de segunda generación, los cuales se encuentran consagrados ya en la Declaración Universal de los Derechos Humanos de 1948, </w:t>
      </w:r>
      <w:r w:rsidRPr="00B327CE">
        <w:rPr>
          <w:rFonts w:ascii="Bookman Old Style" w:eastAsia="Times New Roman" w:hAnsi="Bookman Old Style" w:cs="Times New Roman"/>
          <w:i/>
          <w:sz w:val="24"/>
          <w:szCs w:val="24"/>
        </w:rPr>
        <w:t>grosso modo</w:t>
      </w:r>
      <w:r w:rsidRPr="00B327CE">
        <w:rPr>
          <w:rFonts w:ascii="Bookman Old Style" w:eastAsia="Times New Roman" w:hAnsi="Bookman Old Style" w:cs="Times New Roman"/>
          <w:sz w:val="24"/>
          <w:szCs w:val="24"/>
        </w:rPr>
        <w:t>, como en el Pacto Internacional de Derechos Económicos, Sociales y Culturales de 1966; y Derechos Colectivos o de tercera generación</w:t>
      </w:r>
      <w:r w:rsidRPr="00B327CE">
        <w:rPr>
          <w:rFonts w:ascii="Bookman Old Style" w:eastAsia="Times New Roman" w:hAnsi="Bookman Old Style" w:cs="Times New Roman"/>
          <w:sz w:val="24"/>
          <w:szCs w:val="24"/>
          <w:vertAlign w:val="superscript"/>
        </w:rPr>
        <w:footnoteReference w:id="10"/>
      </w:r>
      <w:r w:rsidRPr="00B327CE">
        <w:rPr>
          <w:rFonts w:ascii="Bookman Old Style" w:eastAsia="Times New Roman" w:hAnsi="Bookman Old Style" w:cs="Times New Roman"/>
          <w:sz w:val="24"/>
          <w:szCs w:val="24"/>
        </w:rPr>
        <w:t>.  Al respecto, es menester resaltar nuevamente la interdependencia y unidad de los Derechos Humanos</w:t>
      </w:r>
      <w:r w:rsidRPr="00B327CE">
        <w:rPr>
          <w:rFonts w:ascii="Bookman Old Style" w:eastAsia="Times New Roman" w:hAnsi="Bookman Old Style" w:cs="Times New Roman"/>
          <w:sz w:val="24"/>
          <w:szCs w:val="24"/>
          <w:vertAlign w:val="superscript"/>
        </w:rPr>
        <w:footnoteReference w:id="11"/>
      </w:r>
      <w:r w:rsidRPr="00B327CE">
        <w:rPr>
          <w:rFonts w:ascii="Bookman Old Style" w:eastAsia="Times New Roman" w:hAnsi="Bookman Old Style" w:cs="Times New Roman"/>
          <w:sz w:val="24"/>
          <w:szCs w:val="24"/>
        </w:rPr>
        <w:t>, la cual cobra especial importancia, de conformidad con la Corte Constitucional, en el marco de un Estado Social de Derecho, fórmula acogida por la Constitución Política de 1991</w:t>
      </w:r>
      <w:r w:rsidRPr="00B327CE">
        <w:rPr>
          <w:rFonts w:ascii="Bookman Old Style" w:eastAsia="Times New Roman" w:hAnsi="Bookman Old Style" w:cs="Times New Roman"/>
          <w:sz w:val="24"/>
          <w:szCs w:val="24"/>
          <w:vertAlign w:val="superscript"/>
        </w:rPr>
        <w:footnoteReference w:id="12"/>
      </w:r>
      <w:r w:rsidRPr="00B327CE">
        <w:rPr>
          <w:rFonts w:ascii="Bookman Old Style" w:eastAsia="Times New Roman" w:hAnsi="Bookman Old Style" w:cs="Times New Roman"/>
          <w:sz w:val="24"/>
          <w:szCs w:val="24"/>
        </w:rPr>
        <w:t>.</w:t>
      </w:r>
    </w:p>
    <w:p w14:paraId="656490D5"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5E153356"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Del mismo modo, es preciso anotar que los Derechos Humanos representan los valores universales y constituyen imperativos éticos destinados a salvaguardar la dignidad de cada ser humano mediante el establecimiento </w:t>
      </w:r>
      <w:r w:rsidRPr="00B327CE">
        <w:rPr>
          <w:rFonts w:ascii="Bookman Old Style" w:eastAsia="Times New Roman" w:hAnsi="Bookman Old Style" w:cs="Times New Roman"/>
          <w:sz w:val="24"/>
          <w:szCs w:val="24"/>
        </w:rPr>
        <w:lastRenderedPageBreak/>
        <w:t>de normas, lineamientos y procedimientos tendientes al aseguramiento y garantía de la precitada finalidad</w:t>
      </w:r>
      <w:r w:rsidRPr="00B327CE">
        <w:rPr>
          <w:rFonts w:ascii="Bookman Old Style" w:eastAsia="Times New Roman" w:hAnsi="Bookman Old Style" w:cs="Times New Roman"/>
          <w:sz w:val="24"/>
          <w:szCs w:val="24"/>
          <w:vertAlign w:val="superscript"/>
        </w:rPr>
        <w:footnoteReference w:id="13"/>
      </w:r>
      <w:r w:rsidRPr="00B327CE">
        <w:rPr>
          <w:rFonts w:ascii="Bookman Old Style" w:eastAsia="Times New Roman" w:hAnsi="Bookman Old Style" w:cs="Times New Roman"/>
          <w:sz w:val="24"/>
          <w:szCs w:val="24"/>
        </w:rPr>
        <w:t>.</w:t>
      </w:r>
    </w:p>
    <w:p w14:paraId="6E5F6306"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5C66D5E3"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Al respecto, es menester resaltar que el Derecho Internacional de los Derechos Humanos impone a los Estados obligaciones positivas y negativas, entendidas en todo caso como obligaciones destinadas al respeto</w:t>
      </w:r>
      <w:r w:rsidRPr="00B327CE">
        <w:rPr>
          <w:rFonts w:ascii="Bookman Old Style" w:eastAsia="Times New Roman" w:hAnsi="Bookman Old Style" w:cs="Times New Roman"/>
          <w:sz w:val="24"/>
          <w:szCs w:val="24"/>
          <w:vertAlign w:val="superscript"/>
        </w:rPr>
        <w:footnoteReference w:id="14"/>
      </w:r>
      <w:r w:rsidRPr="00B327CE">
        <w:rPr>
          <w:rFonts w:ascii="Bookman Old Style" w:eastAsia="Times New Roman" w:hAnsi="Bookman Old Style" w:cs="Times New Roman"/>
          <w:sz w:val="24"/>
          <w:szCs w:val="24"/>
        </w:rPr>
        <w:t>, protección</w:t>
      </w:r>
      <w:r w:rsidRPr="00B327CE">
        <w:rPr>
          <w:rFonts w:ascii="Bookman Old Style" w:eastAsia="Times New Roman" w:hAnsi="Bookman Old Style" w:cs="Times New Roman"/>
          <w:sz w:val="24"/>
          <w:szCs w:val="24"/>
          <w:vertAlign w:val="superscript"/>
        </w:rPr>
        <w:footnoteReference w:id="15"/>
      </w:r>
      <w:r w:rsidRPr="00B327CE">
        <w:rPr>
          <w:rFonts w:ascii="Bookman Old Style" w:eastAsia="Times New Roman" w:hAnsi="Bookman Old Style" w:cs="Times New Roman"/>
          <w:sz w:val="24"/>
          <w:szCs w:val="24"/>
        </w:rPr>
        <w:t xml:space="preserve"> y realización</w:t>
      </w:r>
      <w:r w:rsidRPr="00B327CE">
        <w:rPr>
          <w:rFonts w:ascii="Bookman Old Style" w:eastAsia="Times New Roman" w:hAnsi="Bookman Old Style" w:cs="Times New Roman"/>
          <w:sz w:val="24"/>
          <w:szCs w:val="24"/>
          <w:vertAlign w:val="superscript"/>
        </w:rPr>
        <w:footnoteReference w:id="16"/>
      </w:r>
      <w:r w:rsidRPr="00B327CE">
        <w:rPr>
          <w:rFonts w:ascii="Bookman Old Style" w:eastAsia="Times New Roman" w:hAnsi="Bookman Old Style" w:cs="Times New Roman"/>
          <w:sz w:val="24"/>
          <w:szCs w:val="24"/>
        </w:rPr>
        <w:t xml:space="preserve"> de los mismos. Es precisamente en atención a los precitados deberes, de los cuales el Estado colombiano es titular, que se garantizar el Derecho Humano a la alimentación adecuada.</w:t>
      </w:r>
    </w:p>
    <w:p w14:paraId="70285747"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56A93B9F"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En ese sentido, vale la pena resaltar que los diversos instrumentos internacionales a los cuales se ha hecho referencia en la presente exposición de motivos han facultado a los Estados para que éstos adopten las medidas </w:t>
      </w:r>
      <w:r w:rsidRPr="00B327CE">
        <w:rPr>
          <w:rFonts w:ascii="Bookman Old Style" w:eastAsia="Times New Roman" w:hAnsi="Bookman Old Style" w:cs="Times New Roman"/>
          <w:sz w:val="24"/>
          <w:szCs w:val="24"/>
        </w:rPr>
        <w:lastRenderedPageBreak/>
        <w:t>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sidRPr="00B327CE">
        <w:rPr>
          <w:rFonts w:ascii="Bookman Old Style" w:eastAsia="Times New Roman" w:hAnsi="Bookman Old Style" w:cs="Times New Roman"/>
          <w:sz w:val="24"/>
          <w:szCs w:val="24"/>
          <w:vertAlign w:val="superscript"/>
        </w:rPr>
        <w:footnoteReference w:id="17"/>
      </w:r>
      <w:r w:rsidRPr="00B327CE">
        <w:rPr>
          <w:rFonts w:ascii="Bookman Old Style" w:eastAsia="Times New Roman" w:hAnsi="Bookman Old Style" w:cs="Times New Roman"/>
          <w:sz w:val="24"/>
          <w:szCs w:val="24"/>
        </w:rPr>
        <w:t xml:space="preserve">. </w:t>
      </w:r>
    </w:p>
    <w:p w14:paraId="35613447"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6D1F68BF" w14:textId="77777777" w:rsidR="00227A04" w:rsidRPr="00B327CE" w:rsidRDefault="00227A04" w:rsidP="005908A4">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color w:val="000000"/>
          <w:sz w:val="24"/>
          <w:szCs w:val="24"/>
        </w:rPr>
      </w:pPr>
      <w:r w:rsidRPr="00B327CE">
        <w:rPr>
          <w:rFonts w:ascii="Bookman Old Style" w:eastAsia="Times New Roman" w:hAnsi="Bookman Old Style" w:cs="Times New Roman"/>
          <w:b/>
          <w:color w:val="000000"/>
          <w:sz w:val="24"/>
          <w:szCs w:val="24"/>
        </w:rPr>
        <w:t xml:space="preserve"> El Derecho Humano a la Alimentación como Derecho Económico, Social y Cultural (DESC)</w:t>
      </w:r>
    </w:p>
    <w:p w14:paraId="6902693C" w14:textId="77777777" w:rsidR="00227A04" w:rsidRPr="00B327CE" w:rsidRDefault="00227A04" w:rsidP="005908A4">
      <w:pPr>
        <w:spacing w:after="0" w:line="276" w:lineRule="auto"/>
        <w:jc w:val="both"/>
        <w:rPr>
          <w:rFonts w:ascii="Bookman Old Style" w:eastAsia="Times New Roman" w:hAnsi="Bookman Old Style" w:cs="Times New Roman"/>
          <w:b/>
          <w:sz w:val="24"/>
          <w:szCs w:val="24"/>
        </w:rPr>
      </w:pPr>
    </w:p>
    <w:p w14:paraId="1C8C1AC2"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Respecto al derecho humano a la alimentación, que puede calificarse como el núcleo duro del presente proyecto de Ley, es pertinente resaltar que el mismo se ha considerado como parte de los denominados Derechos Económicos Sociales y Culturales y, en adición a lo anterior, ha sido aceptado universalmente. Así, éste se encuentra contemplado en diversos instrumentos y doctrina de Derecho Internacional relacionados con los Derechos Humanos, entre estos:</w:t>
      </w:r>
    </w:p>
    <w:p w14:paraId="45EB56E6"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Artículo 25.1 de la Declaración Universal de los Derechos Humanos de la Asamblea General de las Naciones Unidas de 1948</w:t>
      </w:r>
      <w:r w:rsidRPr="00B327CE">
        <w:rPr>
          <w:rFonts w:ascii="Bookman Old Style" w:eastAsia="Times New Roman" w:hAnsi="Bookman Old Style" w:cs="Times New Roman"/>
          <w:color w:val="000000"/>
          <w:sz w:val="24"/>
          <w:szCs w:val="24"/>
          <w:vertAlign w:val="superscript"/>
        </w:rPr>
        <w:footnoteReference w:id="18"/>
      </w:r>
    </w:p>
    <w:p w14:paraId="707187E6"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Artículo 11 Pacto Internacional de Derechos Económicos, Sociales y Culturales de 1966</w:t>
      </w:r>
      <w:r w:rsidRPr="00B327CE">
        <w:rPr>
          <w:rFonts w:ascii="Bookman Old Style" w:eastAsia="Times New Roman" w:hAnsi="Bookman Old Style" w:cs="Times New Roman"/>
          <w:color w:val="000000"/>
          <w:sz w:val="24"/>
          <w:szCs w:val="24"/>
          <w:vertAlign w:val="superscript"/>
        </w:rPr>
        <w:footnoteReference w:id="19"/>
      </w:r>
      <w:r w:rsidRPr="00B327CE">
        <w:rPr>
          <w:rFonts w:ascii="Bookman Old Style" w:eastAsia="Times New Roman" w:hAnsi="Bookman Old Style" w:cs="Times New Roman"/>
          <w:color w:val="000000"/>
          <w:sz w:val="24"/>
          <w:szCs w:val="24"/>
        </w:rPr>
        <w:t xml:space="preserve"> en conjunto con la Observación General No. 12 del </w:t>
      </w:r>
      <w:r w:rsidRPr="00B327CE">
        <w:rPr>
          <w:rFonts w:ascii="Bookman Old Style" w:eastAsia="Times New Roman" w:hAnsi="Bookman Old Style" w:cs="Times New Roman"/>
          <w:color w:val="000000"/>
          <w:sz w:val="24"/>
          <w:szCs w:val="24"/>
        </w:rPr>
        <w:lastRenderedPageBreak/>
        <w:t>Comité de Derechos Económicos, Sociales y Culturales de las Naciones Unidas</w:t>
      </w:r>
      <w:r w:rsidRPr="00B327CE">
        <w:rPr>
          <w:rFonts w:ascii="Bookman Old Style" w:eastAsia="Times New Roman" w:hAnsi="Bookman Old Style" w:cs="Times New Roman"/>
          <w:color w:val="000000"/>
          <w:sz w:val="24"/>
          <w:szCs w:val="24"/>
          <w:vertAlign w:val="superscript"/>
        </w:rPr>
        <w:footnoteReference w:id="20"/>
      </w:r>
      <w:r w:rsidRPr="00B327CE">
        <w:rPr>
          <w:rFonts w:ascii="Bookman Old Style" w:eastAsia="Times New Roman" w:hAnsi="Bookman Old Style" w:cs="Times New Roman"/>
          <w:color w:val="000000"/>
          <w:sz w:val="24"/>
          <w:szCs w:val="24"/>
        </w:rPr>
        <w:t xml:space="preserve">. </w:t>
      </w:r>
    </w:p>
    <w:p w14:paraId="4E77744C"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Artículo 24 de la Convención de los Derechos del Niño</w:t>
      </w:r>
      <w:r w:rsidRPr="00B327CE">
        <w:rPr>
          <w:rFonts w:ascii="Bookman Old Style" w:eastAsia="Times New Roman" w:hAnsi="Bookman Old Style" w:cs="Times New Roman"/>
          <w:color w:val="000000"/>
          <w:sz w:val="24"/>
          <w:szCs w:val="24"/>
          <w:vertAlign w:val="superscript"/>
        </w:rPr>
        <w:footnoteReference w:id="21"/>
      </w:r>
    </w:p>
    <w:p w14:paraId="57B55742"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Artículo 12.2 de la Convención sobre la Eliminación de Todas las Formas de Discriminación contra la Mujer</w:t>
      </w:r>
      <w:r w:rsidRPr="00B327CE">
        <w:rPr>
          <w:rFonts w:ascii="Bookman Old Style" w:eastAsia="Times New Roman" w:hAnsi="Bookman Old Style" w:cs="Times New Roman"/>
          <w:color w:val="000000"/>
          <w:sz w:val="24"/>
          <w:szCs w:val="24"/>
          <w:vertAlign w:val="superscript"/>
        </w:rPr>
        <w:footnoteReference w:id="22"/>
      </w:r>
      <w:r w:rsidRPr="00B327CE">
        <w:rPr>
          <w:rFonts w:ascii="Bookman Old Style" w:eastAsia="Times New Roman" w:hAnsi="Bookman Old Style" w:cs="Times New Roman"/>
          <w:color w:val="000000"/>
          <w:sz w:val="24"/>
          <w:szCs w:val="24"/>
        </w:rPr>
        <w:t>.</w:t>
      </w:r>
    </w:p>
    <w:p w14:paraId="62E15C09"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literal f del Artículo 25, en el contexto del derecho a la salud, y el literal l del artículo 28 en el contexto del derecho a un nivel de vida adecuado y a la protección social, de la Convención sobre los Derechos de las Personas con Discapacidad</w:t>
      </w:r>
      <w:r w:rsidRPr="00B327CE">
        <w:rPr>
          <w:rFonts w:ascii="Bookman Old Style" w:eastAsia="Times New Roman" w:hAnsi="Bookman Old Style" w:cs="Times New Roman"/>
          <w:color w:val="000000"/>
          <w:sz w:val="24"/>
          <w:szCs w:val="24"/>
          <w:vertAlign w:val="superscript"/>
        </w:rPr>
        <w:footnoteReference w:id="23"/>
      </w:r>
      <w:r w:rsidRPr="00B327CE">
        <w:rPr>
          <w:rFonts w:ascii="Bookman Old Style" w:eastAsia="Times New Roman" w:hAnsi="Bookman Old Style" w:cs="Times New Roman"/>
          <w:color w:val="000000"/>
          <w:sz w:val="24"/>
          <w:szCs w:val="24"/>
        </w:rPr>
        <w:t xml:space="preserve">. </w:t>
      </w:r>
    </w:p>
    <w:p w14:paraId="7A94B609"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lastRenderedPageBreak/>
        <w:t>El Artículo 12 del Protocolo Adicional a la Convención Americana sobre Derechos Humanos en Materia de Derechos Económicos, Sociales y Culturales - Protocolo de San Salvador – de 1988</w:t>
      </w:r>
      <w:r w:rsidRPr="00B327CE">
        <w:rPr>
          <w:rFonts w:ascii="Bookman Old Style" w:eastAsia="Times New Roman" w:hAnsi="Bookman Old Style" w:cs="Times New Roman"/>
          <w:color w:val="000000"/>
          <w:sz w:val="24"/>
          <w:szCs w:val="24"/>
          <w:vertAlign w:val="superscript"/>
        </w:rPr>
        <w:footnoteReference w:id="24"/>
      </w:r>
    </w:p>
    <w:p w14:paraId="36185F45"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Los literales c, y d del Artículo 14.2 de la Carta Africana sobre los Derecho y Bienestar del Niño, en conexidad con el derecho a la salud y a los servicios de salud.</w:t>
      </w:r>
    </w:p>
    <w:p w14:paraId="600BB866"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Artículo 14 y 15 del Protocolo de la Carta Africana de Derechos Humanos y de los Pueblos sobre los Derechos de la Mujer en África.</w:t>
      </w:r>
    </w:p>
    <w:p w14:paraId="3CAE1532" w14:textId="77777777" w:rsidR="00227A04" w:rsidRPr="00B327CE" w:rsidRDefault="00227A04" w:rsidP="005908A4">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Jurisprudencialmente, la Comisión Africana de Derechos Humanos y de los Pueblos ha interpretado que el derecho a la alimentación se encuentra enunciado implícitamente en la Carta Africana de los Derechos Humanos y de los Pueblos de 1981, esto último a través de la conexidad que existe con los derechos a la vida, a la salud y al desarrollo económico, social y cultural</w:t>
      </w:r>
      <w:r w:rsidRPr="00B327CE">
        <w:rPr>
          <w:rFonts w:ascii="Bookman Old Style" w:eastAsia="Times New Roman" w:hAnsi="Bookman Old Style" w:cs="Times New Roman"/>
          <w:color w:val="000000"/>
          <w:sz w:val="24"/>
          <w:szCs w:val="24"/>
          <w:vertAlign w:val="superscript"/>
        </w:rPr>
        <w:footnoteReference w:id="25"/>
      </w:r>
      <w:r w:rsidRPr="00B327CE">
        <w:rPr>
          <w:rFonts w:ascii="Bookman Old Style" w:eastAsia="Times New Roman" w:hAnsi="Bookman Old Style" w:cs="Times New Roman"/>
          <w:color w:val="000000"/>
          <w:sz w:val="24"/>
          <w:szCs w:val="24"/>
        </w:rPr>
        <w:t>.</w:t>
      </w:r>
    </w:p>
    <w:p w14:paraId="7D6FE777" w14:textId="77777777" w:rsidR="00227A04" w:rsidRPr="00B327CE" w:rsidRDefault="00227A04" w:rsidP="005908A4">
      <w:pPr>
        <w:pBdr>
          <w:top w:val="nil"/>
          <w:left w:val="nil"/>
          <w:bottom w:val="nil"/>
          <w:right w:val="nil"/>
          <w:between w:val="nil"/>
        </w:pBdr>
        <w:spacing w:after="0" w:line="276" w:lineRule="auto"/>
        <w:jc w:val="both"/>
        <w:rPr>
          <w:rFonts w:ascii="Bookman Old Style" w:eastAsia="Times New Roman" w:hAnsi="Bookman Old Style" w:cs="Times New Roman"/>
          <w:color w:val="000000"/>
          <w:sz w:val="24"/>
          <w:szCs w:val="24"/>
        </w:rPr>
      </w:pPr>
    </w:p>
    <w:p w14:paraId="490FCB4C"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En adición a lo anterior, el mismo ha sido mencionado, complementado, reconocido y/o desarrollado en diferentes instrumentos de </w:t>
      </w:r>
      <w:proofErr w:type="spellStart"/>
      <w:r w:rsidRPr="00B327CE">
        <w:rPr>
          <w:rFonts w:ascii="Bookman Old Style" w:eastAsia="Times New Roman" w:hAnsi="Bookman Old Style" w:cs="Times New Roman"/>
          <w:i/>
          <w:sz w:val="24"/>
          <w:szCs w:val="24"/>
        </w:rPr>
        <w:t>soft-law</w:t>
      </w:r>
      <w:proofErr w:type="spellEnd"/>
      <w:r w:rsidRPr="00B327CE">
        <w:rPr>
          <w:rFonts w:ascii="Bookman Old Style" w:eastAsia="Times New Roman" w:hAnsi="Bookman Old Style" w:cs="Times New Roman"/>
          <w:i/>
          <w:sz w:val="24"/>
          <w:szCs w:val="24"/>
        </w:rPr>
        <w:t xml:space="preserve"> </w:t>
      </w:r>
      <w:r w:rsidRPr="00B327CE">
        <w:rPr>
          <w:rFonts w:ascii="Bookman Old Style" w:eastAsia="Times New Roman" w:hAnsi="Bookman Old Style" w:cs="Times New Roman"/>
          <w:sz w:val="24"/>
          <w:szCs w:val="24"/>
        </w:rPr>
        <w:t>de derecho internacional, como lo son, entre otros:</w:t>
      </w:r>
    </w:p>
    <w:p w14:paraId="7DF7013E"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La Declaración Universal sobre la Erradicación del Hambre y la Malnutrición de 1974.</w:t>
      </w:r>
    </w:p>
    <w:p w14:paraId="07F7912D"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La Declaración Mundial sobre la Nutrición de 1992.</w:t>
      </w:r>
    </w:p>
    <w:p w14:paraId="3F892352"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La Declaración de Roma sobre la Seguridad Alimentaria Mundial de 1966.</w:t>
      </w:r>
    </w:p>
    <w:p w14:paraId="0B1CCE91"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La Resolución 2004/19 de la Asamblea General de las Naciones Unidas.</w:t>
      </w:r>
    </w:p>
    <w:p w14:paraId="6B2D58FB"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Folleto Informativo No. 34 de la Oficina del Alto Comisionado de las Naciones Unidas para los Derechos Humanos y la FAO respecto al Derecho a la Alimentación Adecuada.</w:t>
      </w:r>
    </w:p>
    <w:p w14:paraId="45BB79E3" w14:textId="77777777" w:rsidR="00227A04" w:rsidRPr="00B327CE" w:rsidRDefault="00227A04" w:rsidP="005908A4">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color w:val="000000"/>
          <w:sz w:val="24"/>
          <w:szCs w:val="24"/>
        </w:rPr>
      </w:pPr>
      <w:r w:rsidRPr="00B327CE">
        <w:rPr>
          <w:rFonts w:ascii="Bookman Old Style" w:eastAsia="Times New Roman" w:hAnsi="Bookman Old Style" w:cs="Times New Roman"/>
          <w:color w:val="000000"/>
          <w:sz w:val="24"/>
          <w:szCs w:val="24"/>
        </w:rPr>
        <w:t>El Informe de fecha 11 de agosto de 2010 del Relator Especial de las Naciones Unidas sobre el derecho a la alimentación, en donde se señala que “</w:t>
      </w:r>
      <w:r w:rsidRPr="00B327CE">
        <w:rPr>
          <w:rFonts w:ascii="Bookman Old Style" w:eastAsia="Times New Roman" w:hAnsi="Bookman Old Style" w:cs="Times New Roman"/>
          <w:i/>
          <w:color w:val="000000"/>
          <w:sz w:val="24"/>
          <w:szCs w:val="24"/>
        </w:rPr>
        <w:t xml:space="preserve">El acceso a la tierra y la seguridad de la tenencia son esenciales para </w:t>
      </w:r>
      <w:r w:rsidRPr="00B327CE">
        <w:rPr>
          <w:rFonts w:ascii="Bookman Old Style" w:eastAsia="Times New Roman" w:hAnsi="Bookman Old Style" w:cs="Times New Roman"/>
          <w:i/>
          <w:color w:val="000000"/>
          <w:sz w:val="24"/>
          <w:szCs w:val="24"/>
        </w:rPr>
        <w:lastRenderedPageBreak/>
        <w:t>asegurar el disfrute no solo del derecho a la alimentación, sino también de otros derechos humanos, incluidos el derecho al trabajo (de los campesinos que no poseen tierras) y el derecho a la vivienda</w:t>
      </w:r>
      <w:r w:rsidRPr="00B327CE">
        <w:rPr>
          <w:rFonts w:ascii="Bookman Old Style" w:eastAsia="Times New Roman" w:hAnsi="Bookman Old Style" w:cs="Times New Roman"/>
          <w:color w:val="000000"/>
          <w:sz w:val="24"/>
          <w:szCs w:val="24"/>
        </w:rPr>
        <w:t xml:space="preserve">”. </w:t>
      </w:r>
    </w:p>
    <w:p w14:paraId="443FD819" w14:textId="77777777" w:rsidR="00227A04" w:rsidRPr="00B327CE" w:rsidRDefault="00227A04" w:rsidP="005908A4">
      <w:pPr>
        <w:pBdr>
          <w:top w:val="nil"/>
          <w:left w:val="nil"/>
          <w:bottom w:val="nil"/>
          <w:right w:val="nil"/>
          <w:between w:val="nil"/>
        </w:pBdr>
        <w:spacing w:after="0" w:line="276" w:lineRule="auto"/>
        <w:jc w:val="both"/>
        <w:rPr>
          <w:rFonts w:ascii="Bookman Old Style" w:eastAsia="Times New Roman" w:hAnsi="Bookman Old Style" w:cs="Times New Roman"/>
          <w:color w:val="000000"/>
          <w:sz w:val="24"/>
          <w:szCs w:val="24"/>
        </w:rPr>
      </w:pPr>
    </w:p>
    <w:p w14:paraId="605220BB"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paso, implementar políticas públicas tendientes a la erradicación de la pobreza y la efectiva realización de otros derechos.</w:t>
      </w:r>
    </w:p>
    <w:p w14:paraId="49BE841E"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2CDF591A"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lo referente al contenido sustancial del mentado derecho, el mismo ha sido entendido por parte del Comité como:</w:t>
      </w:r>
    </w:p>
    <w:p w14:paraId="0F6A0AFF"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7234963A" w14:textId="77777777" w:rsidR="00227A04" w:rsidRPr="00B327CE" w:rsidRDefault="00227A04" w:rsidP="005908A4">
      <w:pPr>
        <w:spacing w:after="0" w:line="276" w:lineRule="auto"/>
        <w:ind w:left="708"/>
        <w:jc w:val="both"/>
        <w:rPr>
          <w:rFonts w:ascii="Bookman Old Style" w:eastAsia="Times New Roman" w:hAnsi="Bookman Old Style" w:cs="Times New Roman"/>
          <w:i/>
          <w:sz w:val="24"/>
          <w:szCs w:val="24"/>
        </w:rPr>
      </w:pPr>
      <w:r w:rsidRPr="00B327CE">
        <w:rPr>
          <w:rFonts w:ascii="Bookman Old Style" w:eastAsia="Times New Roman" w:hAnsi="Bookman Old Style" w:cs="Times New Roman"/>
          <w:i/>
          <w:sz w:val="24"/>
          <w:szCs w:val="24"/>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B327CE">
        <w:rPr>
          <w:rFonts w:ascii="Bookman Old Style" w:eastAsia="Times New Roman" w:hAnsi="Bookman Old Style" w:cs="Times New Roman"/>
          <w:i/>
          <w:sz w:val="24"/>
          <w:szCs w:val="24"/>
          <w:vertAlign w:val="superscript"/>
        </w:rPr>
        <w:footnoteReference w:id="26"/>
      </w:r>
    </w:p>
    <w:p w14:paraId="667414BF" w14:textId="77777777" w:rsidR="00227A04" w:rsidRPr="00B327CE" w:rsidRDefault="00227A04" w:rsidP="005908A4">
      <w:pPr>
        <w:spacing w:after="0" w:line="276" w:lineRule="auto"/>
        <w:ind w:left="708"/>
        <w:jc w:val="both"/>
        <w:rPr>
          <w:rFonts w:ascii="Bookman Old Style" w:eastAsia="Times New Roman" w:hAnsi="Bookman Old Style" w:cs="Times New Roman"/>
          <w:i/>
          <w:sz w:val="24"/>
          <w:szCs w:val="24"/>
        </w:rPr>
      </w:pPr>
    </w:p>
    <w:p w14:paraId="0E4CCFF6"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lastRenderedPageBreak/>
        <w:t>De la misma manera, el Relator Especial de las Naciones Unidas sobre el Derecho a la alimentación ha contribuido a la definición sustantiva de dicho derecho, estableciendo que el mismo consiste en:</w:t>
      </w:r>
    </w:p>
    <w:p w14:paraId="33D2CB69"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38D25A14" w14:textId="77777777" w:rsidR="00227A04" w:rsidRPr="00B327CE" w:rsidRDefault="00227A04" w:rsidP="005908A4">
      <w:pPr>
        <w:widowControl w:val="0"/>
        <w:spacing w:after="0" w:line="276" w:lineRule="auto"/>
        <w:ind w:left="708"/>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i/>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vertAlign w:val="superscript"/>
        </w:rPr>
        <w:footnoteReference w:id="27"/>
      </w:r>
    </w:p>
    <w:p w14:paraId="78D6906C" w14:textId="77777777" w:rsidR="00227A04" w:rsidRPr="00B327CE" w:rsidRDefault="00227A04" w:rsidP="005908A4">
      <w:pPr>
        <w:widowControl w:val="0"/>
        <w:spacing w:after="0" w:line="276" w:lineRule="auto"/>
        <w:ind w:left="708"/>
        <w:jc w:val="both"/>
        <w:rPr>
          <w:rFonts w:ascii="Bookman Old Style" w:eastAsia="Times New Roman" w:hAnsi="Bookman Old Style" w:cs="Times New Roman"/>
          <w:sz w:val="24"/>
          <w:szCs w:val="24"/>
        </w:rPr>
      </w:pPr>
    </w:p>
    <w:p w14:paraId="5A6F734C"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Al respecto, surgen ciertos conceptos que resultan destacables con respecto al derecho a la alimentación, a saber: </w:t>
      </w:r>
      <w:r w:rsidRPr="00B327CE">
        <w:rPr>
          <w:rFonts w:ascii="Bookman Old Style" w:eastAsia="Times New Roman" w:hAnsi="Bookman Old Style" w:cs="Times New Roman"/>
          <w:b/>
          <w:sz w:val="24"/>
          <w:szCs w:val="24"/>
        </w:rPr>
        <w:t>disponibilidad, accesibilidad y adecuación</w:t>
      </w:r>
      <w:r w:rsidRPr="00B327CE">
        <w:rPr>
          <w:rFonts w:ascii="Bookman Old Style" w:eastAsia="Times New Roman" w:hAnsi="Bookman Old Style" w:cs="Times New Roman"/>
          <w:sz w:val="24"/>
          <w:szCs w:val="24"/>
        </w:rPr>
        <w:t xml:space="preserve">. </w:t>
      </w:r>
    </w:p>
    <w:p w14:paraId="00A71264"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24792966"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Por disponible, debe entenderse que el alimento pueda ser obtenido ya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B327CE">
        <w:rPr>
          <w:rFonts w:ascii="Bookman Old Style" w:eastAsia="Times New Roman" w:hAnsi="Bookman Old Style" w:cs="Times New Roman"/>
          <w:i/>
          <w:sz w:val="24"/>
          <w:szCs w:val="24"/>
        </w:rPr>
        <w:t xml:space="preserve">“la cantidad de alimentos con que se cuenta a nivel nacional, regional y local; </w:t>
      </w:r>
      <w:r w:rsidRPr="00B327CE">
        <w:rPr>
          <w:rFonts w:ascii="Bookman Old Style" w:eastAsia="Times New Roman" w:hAnsi="Bookman Old Style" w:cs="Times New Roman"/>
          <w:sz w:val="24"/>
          <w:szCs w:val="24"/>
        </w:rPr>
        <w:t xml:space="preserve">(y) </w:t>
      </w:r>
      <w:r w:rsidRPr="00B327CE">
        <w:rPr>
          <w:rFonts w:ascii="Bookman Old Style" w:eastAsia="Times New Roman" w:hAnsi="Bookman Old Style" w:cs="Times New Roman"/>
          <w:i/>
          <w:sz w:val="24"/>
          <w:szCs w:val="24"/>
        </w:rPr>
        <w:t>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sidRPr="00B327CE">
        <w:rPr>
          <w:rFonts w:ascii="Bookman Old Style" w:eastAsia="Times New Roman" w:hAnsi="Bookman Old Style" w:cs="Times New Roman"/>
          <w:sz w:val="24"/>
          <w:szCs w:val="24"/>
        </w:rPr>
        <w:t xml:space="preserve">” </w:t>
      </w:r>
    </w:p>
    <w:p w14:paraId="5735E1D5"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49257B10"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Del mismo modo, el alimento debe ser </w:t>
      </w:r>
      <w:r w:rsidRPr="00B327CE">
        <w:rPr>
          <w:rFonts w:ascii="Bookman Old Style" w:eastAsia="Times New Roman" w:hAnsi="Bookman Old Style" w:cs="Times New Roman"/>
          <w:b/>
          <w:sz w:val="24"/>
          <w:szCs w:val="24"/>
        </w:rPr>
        <w:t>accesible</w:t>
      </w:r>
      <w:r w:rsidRPr="00B327CE">
        <w:rPr>
          <w:rFonts w:ascii="Bookman Old Style" w:eastAsia="Times New Roman" w:hAnsi="Bookman Old Style" w:cs="Times New Roman"/>
          <w:sz w:val="24"/>
          <w:szCs w:val="24"/>
        </w:rPr>
        <w:t xml:space="preserve">, ya en el plano económico como en el plano físico. En cuanto a la accesibilidad económica, dicho aspecto hace referencia a que debe garantizarse que las personas se encuentren en condiciones adecuadas de permitirse la adquisición de los </w:t>
      </w:r>
      <w:r w:rsidRPr="00B327CE">
        <w:rPr>
          <w:rFonts w:ascii="Bookman Old Style" w:eastAsia="Times New Roman" w:hAnsi="Bookman Old Style" w:cs="Times New Roman"/>
          <w:sz w:val="24"/>
          <w:szCs w:val="24"/>
        </w:rPr>
        <w:lastRenderedPageBreak/>
        <w:t>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B327CE">
        <w:rPr>
          <w:rFonts w:ascii="Bookman Old Style" w:eastAsia="Times New Roman" w:hAnsi="Bookman Old Style" w:cs="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B327CE">
        <w:rPr>
          <w:rFonts w:ascii="Bookman Old Style" w:eastAsia="Times New Roman" w:hAnsi="Bookman Old Style" w:cs="Times New Roman"/>
          <w:sz w:val="24"/>
          <w:szCs w:val="24"/>
        </w:rPr>
        <w:t>”</w:t>
      </w:r>
    </w:p>
    <w:p w14:paraId="3DEEEC54"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11ED325A"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53B16662"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57B1A693" w14:textId="77777777" w:rsidR="00227A04" w:rsidRPr="00B327CE" w:rsidRDefault="00227A04" w:rsidP="005908A4">
      <w:pPr>
        <w:spacing w:after="0" w:line="276" w:lineRule="auto"/>
        <w:jc w:val="both"/>
        <w:rPr>
          <w:rFonts w:ascii="Bookman Old Style" w:eastAsia="Times New Roman" w:hAnsi="Bookman Old Style" w:cs="Times New Roman"/>
          <w:sz w:val="24"/>
          <w:szCs w:val="24"/>
        </w:rPr>
      </w:pPr>
    </w:p>
    <w:p w14:paraId="55504199" w14:textId="77777777" w:rsidR="00227A04" w:rsidRPr="00B327CE" w:rsidRDefault="00227A04" w:rsidP="005908A4">
      <w:pPr>
        <w:widowControl w:val="0"/>
        <w:spacing w:after="0" w:line="276" w:lineRule="auto"/>
        <w:ind w:left="708"/>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i/>
          <w:sz w:val="24"/>
          <w:szCs w:val="24"/>
        </w:rPr>
        <w:t xml:space="preserve">El derecho a la alimentación adecuada, al igual que cualquier otro derecho humano, impone tres tipos o niveles de obligaciones a los Estados Partes: las obligaciones de </w:t>
      </w:r>
      <w:r w:rsidRPr="00B327CE">
        <w:rPr>
          <w:rFonts w:ascii="Bookman Old Style" w:eastAsia="Times New Roman" w:hAnsi="Bookman Old Style" w:cs="Times New Roman"/>
          <w:b/>
          <w:i/>
          <w:sz w:val="24"/>
          <w:szCs w:val="24"/>
        </w:rPr>
        <w:t>respetar, proteger y realizar</w:t>
      </w:r>
      <w:r w:rsidRPr="00B327CE">
        <w:rPr>
          <w:rFonts w:ascii="Bookman Old Style" w:eastAsia="Times New Roman" w:hAnsi="Bookman Old Style" w:cs="Times New Roman"/>
          <w:i/>
          <w:sz w:val="24"/>
          <w:szCs w:val="24"/>
        </w:rPr>
        <w:t xml:space="preserve">. A su vez, la obligación de realizar entraña tanto la obligación de facilitar como la obligación de hacer efectivo. La obligación de respetar el acceso existente a una alimentación adecuada requiere que los Estados no </w:t>
      </w:r>
      <w:r w:rsidRPr="00B327CE">
        <w:rPr>
          <w:rFonts w:ascii="Bookman Old Style" w:eastAsia="Times New Roman" w:hAnsi="Bookman Old Style" w:cs="Times New Roman"/>
          <w:i/>
          <w:sz w:val="24"/>
          <w:szCs w:val="24"/>
        </w:rPr>
        <w:lastRenderedPageBreak/>
        <w:t>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w:t>
      </w: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vertAlign w:val="superscript"/>
        </w:rPr>
        <w:footnoteReference w:id="28"/>
      </w:r>
      <w:r w:rsidRPr="00B327CE">
        <w:rPr>
          <w:rFonts w:ascii="Bookman Old Style" w:eastAsia="Times New Roman" w:hAnsi="Bookman Old Style" w:cs="Times New Roman"/>
          <w:sz w:val="24"/>
          <w:szCs w:val="24"/>
        </w:rPr>
        <w:t xml:space="preserve"> (se resalta)</w:t>
      </w:r>
    </w:p>
    <w:p w14:paraId="02F16F84"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034FC1C5" w14:textId="77777777" w:rsidR="00227A04" w:rsidRPr="00B327CE" w:rsidRDefault="00227A04" w:rsidP="005908A4">
      <w:pPr>
        <w:widowControl w:val="0"/>
        <w:numPr>
          <w:ilvl w:val="0"/>
          <w:numId w:val="4"/>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 xml:space="preserve"> Consideraciones frente a la exigibilidad del derecho en los términos planteados en el proyecto</w:t>
      </w:r>
    </w:p>
    <w:p w14:paraId="25C9597E"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387B06B8"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sidRPr="00B327CE">
        <w:rPr>
          <w:rFonts w:ascii="Bookman Old Style" w:eastAsia="Times New Roman" w:hAnsi="Bookman Old Style" w:cs="Times New Roman"/>
          <w:sz w:val="24"/>
          <w:szCs w:val="24"/>
          <w:vertAlign w:val="superscript"/>
        </w:rPr>
        <w:footnoteReference w:id="29"/>
      </w:r>
      <w:r w:rsidRPr="00B327CE">
        <w:rPr>
          <w:rFonts w:ascii="Bookman Old Style" w:eastAsia="Times New Roman" w:hAnsi="Bookman Old Style" w:cs="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62BD8BC5"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1CA7F6FC"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ese sentido, resulta necesario traer a colación lo dispuesto por el economista y premio Nobel de economía Amartya Sen en su escrito “</w:t>
      </w:r>
      <w:proofErr w:type="spellStart"/>
      <w:r w:rsidRPr="00B327CE">
        <w:rPr>
          <w:rFonts w:ascii="Bookman Old Style" w:eastAsia="Times New Roman" w:hAnsi="Bookman Old Style" w:cs="Times New Roman"/>
          <w:i/>
          <w:sz w:val="24"/>
          <w:szCs w:val="24"/>
        </w:rPr>
        <w:t>The</w:t>
      </w:r>
      <w:proofErr w:type="spellEnd"/>
      <w:r w:rsidRPr="00B327CE">
        <w:rPr>
          <w:rFonts w:ascii="Bookman Old Style" w:eastAsia="Times New Roman" w:hAnsi="Bookman Old Style" w:cs="Times New Roman"/>
          <w:i/>
          <w:sz w:val="24"/>
          <w:szCs w:val="24"/>
        </w:rPr>
        <w:t xml:space="preserve"> </w:t>
      </w:r>
      <w:proofErr w:type="spellStart"/>
      <w:r w:rsidRPr="00B327CE">
        <w:rPr>
          <w:rFonts w:ascii="Bookman Old Style" w:eastAsia="Times New Roman" w:hAnsi="Bookman Old Style" w:cs="Times New Roman"/>
          <w:i/>
          <w:sz w:val="24"/>
          <w:szCs w:val="24"/>
        </w:rPr>
        <w:t>right</w:t>
      </w:r>
      <w:proofErr w:type="spellEnd"/>
      <w:r w:rsidRPr="00B327CE">
        <w:rPr>
          <w:rFonts w:ascii="Bookman Old Style" w:eastAsia="Times New Roman" w:hAnsi="Bookman Old Style" w:cs="Times New Roman"/>
          <w:i/>
          <w:sz w:val="24"/>
          <w:szCs w:val="24"/>
        </w:rPr>
        <w:t xml:space="preserve"> </w:t>
      </w:r>
      <w:proofErr w:type="spellStart"/>
      <w:r w:rsidRPr="00B327CE">
        <w:rPr>
          <w:rFonts w:ascii="Bookman Old Style" w:eastAsia="Times New Roman" w:hAnsi="Bookman Old Style" w:cs="Times New Roman"/>
          <w:i/>
          <w:sz w:val="24"/>
          <w:szCs w:val="24"/>
        </w:rPr>
        <w:t>not</w:t>
      </w:r>
      <w:proofErr w:type="spellEnd"/>
      <w:r w:rsidRPr="00B327CE">
        <w:rPr>
          <w:rFonts w:ascii="Bookman Old Style" w:eastAsia="Times New Roman" w:hAnsi="Bookman Old Style" w:cs="Times New Roman"/>
          <w:i/>
          <w:sz w:val="24"/>
          <w:szCs w:val="24"/>
        </w:rPr>
        <w:t xml:space="preserve"> to be </w:t>
      </w:r>
      <w:proofErr w:type="spellStart"/>
      <w:r w:rsidRPr="00B327CE">
        <w:rPr>
          <w:rFonts w:ascii="Bookman Old Style" w:eastAsia="Times New Roman" w:hAnsi="Bookman Old Style" w:cs="Times New Roman"/>
          <w:i/>
          <w:sz w:val="24"/>
          <w:szCs w:val="24"/>
        </w:rPr>
        <w:t>hungry</w:t>
      </w:r>
      <w:proofErr w:type="spellEnd"/>
      <w:r w:rsidRPr="00B327CE">
        <w:rPr>
          <w:rFonts w:ascii="Bookman Old Style" w:eastAsia="Times New Roman" w:hAnsi="Bookman Old Style" w:cs="Times New Roman"/>
          <w:sz w:val="24"/>
          <w:szCs w:val="24"/>
        </w:rPr>
        <w:t xml:space="preserve">” (1982) quien plantea la existencia de una nueva </w:t>
      </w:r>
      <w:r w:rsidRPr="00B327CE">
        <w:rPr>
          <w:rFonts w:ascii="Bookman Old Style" w:eastAsia="Times New Roman" w:hAnsi="Bookman Old Style" w:cs="Times New Roman"/>
          <w:sz w:val="24"/>
          <w:szCs w:val="24"/>
        </w:rPr>
        <w:lastRenderedPageBreak/>
        <w:t>categoría de derechos que denomina “</w:t>
      </w:r>
      <w:proofErr w:type="spellStart"/>
      <w:r w:rsidRPr="00B327CE">
        <w:rPr>
          <w:rFonts w:ascii="Bookman Old Style" w:eastAsia="Times New Roman" w:hAnsi="Bookman Old Style" w:cs="Times New Roman"/>
          <w:sz w:val="24"/>
          <w:szCs w:val="24"/>
        </w:rPr>
        <w:t>metaderechos</w:t>
      </w:r>
      <w:proofErr w:type="spellEnd"/>
      <w:r w:rsidRPr="00B327CE">
        <w:rPr>
          <w:rFonts w:ascii="Bookman Old Style" w:eastAsia="Times New Roman" w:hAnsi="Bookman Old Style" w:cs="Times New Roman"/>
          <w:sz w:val="24"/>
          <w:szCs w:val="24"/>
        </w:rPr>
        <w:t>”. En ese sentido, Sen plantea que “</w:t>
      </w:r>
      <w:r w:rsidRPr="00B327CE">
        <w:rPr>
          <w:rFonts w:ascii="Bookman Old Style" w:eastAsia="Times New Roman" w:hAnsi="Bookman Old Style" w:cs="Times New Roman"/>
          <w:i/>
          <w:sz w:val="24"/>
          <w:szCs w:val="24"/>
        </w:rPr>
        <w:t xml:space="preserve">un </w:t>
      </w:r>
      <w:proofErr w:type="spellStart"/>
      <w:r w:rsidRPr="00B327CE">
        <w:rPr>
          <w:rFonts w:ascii="Bookman Old Style" w:eastAsia="Times New Roman" w:hAnsi="Bookman Old Style" w:cs="Times New Roman"/>
          <w:i/>
          <w:sz w:val="24"/>
          <w:szCs w:val="24"/>
        </w:rPr>
        <w:t>metaderecho</w:t>
      </w:r>
      <w:proofErr w:type="spellEnd"/>
      <w:r w:rsidRPr="00B327CE">
        <w:rPr>
          <w:rFonts w:ascii="Bookman Old Style" w:eastAsia="Times New Roman" w:hAnsi="Bookman Old Style" w:cs="Times New Roman"/>
          <w:i/>
          <w:sz w:val="24"/>
          <w:szCs w:val="24"/>
        </w:rPr>
        <w:t xml:space="preserve"> a algo x puede ser definido como el derecho a tener políticas p(x) que persigan genuinamente el objetivo de hacer realizable el derecho a x</w:t>
      </w: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vertAlign w:val="superscript"/>
        </w:rPr>
        <w:footnoteReference w:id="30"/>
      </w:r>
      <w:r w:rsidRPr="00B327CE">
        <w:rPr>
          <w:rFonts w:ascii="Bookman Old Style" w:eastAsia="Times New Roman" w:hAnsi="Bookman Old Style" w:cs="Times New Roman"/>
          <w:sz w:val="24"/>
          <w:szCs w:val="24"/>
        </w:rPr>
        <w:t xml:space="preserve"> Con el propósito de ejemplificar su afirmación, el autor plantea un ejemplo de la Constitución de la India en donde claramente se esboza una redacción “</w:t>
      </w:r>
      <w:r w:rsidRPr="00B327CE">
        <w:rPr>
          <w:rFonts w:ascii="Bookman Old Style" w:eastAsia="Times New Roman" w:hAnsi="Bookman Old Style" w:cs="Times New Roman"/>
          <w:i/>
          <w:sz w:val="24"/>
          <w:szCs w:val="24"/>
        </w:rPr>
        <w:t xml:space="preserve">suficientemente cuidadosa para evitar aseverar que tal derecho existe de antemano </w:t>
      </w:r>
      <w:r w:rsidRPr="00B327CE">
        <w:rPr>
          <w:rFonts w:ascii="Bookman Old Style" w:eastAsia="Times New Roman" w:hAnsi="Bookman Old Style" w:cs="Times New Roman"/>
          <w:sz w:val="24"/>
          <w:szCs w:val="24"/>
        </w:rPr>
        <w:t xml:space="preserve">(pese a que es deseable su existencia y puede argumentarse desde el ámbito de la conexidad con Derechos Fundamentales de corte no prestacional), </w:t>
      </w:r>
      <w:r w:rsidRPr="00B327CE">
        <w:rPr>
          <w:rFonts w:ascii="Bookman Old Style" w:eastAsia="Times New Roman" w:hAnsi="Bookman Old Style" w:cs="Times New Roman"/>
          <w:i/>
          <w:sz w:val="24"/>
          <w:szCs w:val="24"/>
        </w:rPr>
        <w:t>al decir que tan solo las políticas deben ser dirigidas a hacer posible tener medios adecuados para la realización del fin</w:t>
      </w: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vertAlign w:val="superscript"/>
        </w:rPr>
        <w:footnoteReference w:id="31"/>
      </w:r>
    </w:p>
    <w:p w14:paraId="72BAE308"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06A4A0AC"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El eje central de la teoría esbozada por Sen parte de una sencilla premisa: la redacción consignada, de ser aceptada y positivizada en el texto constitucional, plantea que tan solo se le otorgaría el reconocimiento y las herramientas para exigir al Gobierno el derecho a que se pongan en práctica las políticas (definidas por el autor como p(x)) y que sean conducentes para la realización y materialización del fin perseguido (definido como x por el Autor). </w:t>
      </w:r>
    </w:p>
    <w:p w14:paraId="74B49636"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4EF38A81"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En ese sentido, de acuerdo con Sen “</w:t>
      </w:r>
      <w:r w:rsidRPr="00B327CE">
        <w:rPr>
          <w:rFonts w:ascii="Bookman Old Style" w:eastAsia="Times New Roman" w:hAnsi="Bookman Old Style" w:cs="Times New Roman"/>
          <w:i/>
          <w:sz w:val="24"/>
          <w:szCs w:val="24"/>
        </w:rPr>
        <w:t xml:space="preserve">no resulta difícil observar por qué los </w:t>
      </w:r>
      <w:proofErr w:type="spellStart"/>
      <w:r w:rsidRPr="00B327CE">
        <w:rPr>
          <w:rFonts w:ascii="Bookman Old Style" w:eastAsia="Times New Roman" w:hAnsi="Bookman Old Style" w:cs="Times New Roman"/>
          <w:i/>
          <w:sz w:val="24"/>
          <w:szCs w:val="24"/>
        </w:rPr>
        <w:t>metaderechos</w:t>
      </w:r>
      <w:proofErr w:type="spellEnd"/>
      <w:r w:rsidRPr="00B327CE">
        <w:rPr>
          <w:rFonts w:ascii="Bookman Old Style" w:eastAsia="Times New Roman" w:hAnsi="Bookman Old Style" w:cs="Times New Roman"/>
          <w:i/>
          <w:sz w:val="24"/>
          <w:szCs w:val="24"/>
        </w:rPr>
        <w:t xml:space="preserve"> de este tipo tienen relevancia particular para objetivos económicos tales como la remoción de la pobreza o el hambre. En muchos países en donde </w:t>
      </w:r>
      <w:r w:rsidRPr="00B327CE">
        <w:rPr>
          <w:rFonts w:ascii="Bookman Old Style" w:eastAsia="Times New Roman" w:hAnsi="Bookman Old Style" w:cs="Times New Roman"/>
          <w:sz w:val="24"/>
          <w:szCs w:val="24"/>
        </w:rPr>
        <w:t xml:space="preserve">(estas dos situaciones) </w:t>
      </w:r>
      <w:r w:rsidRPr="00B327CE">
        <w:rPr>
          <w:rFonts w:ascii="Bookman Old Style" w:eastAsia="Times New Roman" w:hAnsi="Bookman Old Style" w:cs="Times New Roman"/>
          <w:i/>
          <w:sz w:val="24"/>
          <w:szCs w:val="24"/>
        </w:rPr>
        <w:t>están diseminados, puede que no exista ningún modo factible mediante el cual en un futuro cercano se le garantice a todos ser liberados de aquellas, pero sí políticas que rápidamente conducirán a tal liberación</w:t>
      </w:r>
      <w:r w:rsidRPr="00B327CE">
        <w:rPr>
          <w:rFonts w:ascii="Bookman Old Style" w:eastAsia="Times New Roman" w:hAnsi="Bookman Old Style" w:cs="Times New Roman"/>
          <w:sz w:val="24"/>
          <w:szCs w:val="24"/>
        </w:rPr>
        <w:t>.”</w:t>
      </w:r>
      <w:r w:rsidRPr="00B327CE">
        <w:rPr>
          <w:rFonts w:ascii="Bookman Old Style" w:eastAsia="Times New Roman" w:hAnsi="Bookman Old Style" w:cs="Times New Roman"/>
          <w:sz w:val="24"/>
          <w:szCs w:val="24"/>
          <w:vertAlign w:val="superscript"/>
        </w:rPr>
        <w:footnoteReference w:id="32"/>
      </w:r>
      <w:r w:rsidRPr="00B327CE">
        <w:rPr>
          <w:rFonts w:ascii="Bookman Old Style" w:eastAsia="Times New Roman" w:hAnsi="Bookman Old Style" w:cs="Times New Roman"/>
          <w:sz w:val="24"/>
          <w:szCs w:val="24"/>
        </w:rPr>
        <w:t xml:space="preserve"> Tomando en consideración el anterior panorama, se cree que establecer el </w:t>
      </w:r>
      <w:proofErr w:type="spellStart"/>
      <w:r w:rsidRPr="00B327CE">
        <w:rPr>
          <w:rFonts w:ascii="Bookman Old Style" w:eastAsia="Times New Roman" w:hAnsi="Bookman Old Style" w:cs="Times New Roman"/>
          <w:sz w:val="24"/>
          <w:szCs w:val="24"/>
        </w:rPr>
        <w:t>metaderecho</w:t>
      </w:r>
      <w:proofErr w:type="spellEnd"/>
      <w:r w:rsidRPr="00B327CE">
        <w:rPr>
          <w:rFonts w:ascii="Bookman Old Style" w:eastAsia="Times New Roman" w:hAnsi="Bookman Old Style" w:cs="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70155E7D"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p>
    <w:p w14:paraId="7ED6C343" w14:textId="77777777" w:rsidR="00227A04" w:rsidRPr="00B327CE" w:rsidRDefault="00227A04" w:rsidP="005908A4">
      <w:pPr>
        <w:widowControl w:val="0"/>
        <w:spacing w:after="0" w:line="276" w:lineRule="auto"/>
        <w:jc w:val="both"/>
        <w:rPr>
          <w:rFonts w:ascii="Bookman Old Style" w:eastAsia="Times New Roman" w:hAnsi="Bookman Old Style" w:cs="Times New Roman"/>
          <w:sz w:val="24"/>
          <w:szCs w:val="24"/>
        </w:rPr>
      </w:pPr>
      <w:r w:rsidRPr="00B327CE">
        <w:rPr>
          <w:rFonts w:ascii="Bookman Old Style" w:eastAsia="Times New Roman" w:hAnsi="Bookman Old Style" w:cs="Times New Roman"/>
          <w:sz w:val="24"/>
          <w:szCs w:val="24"/>
        </w:rPr>
        <w:t xml:space="preserve">Tomando en consideración la teoría expuesta por Sen, se establece una </w:t>
      </w:r>
      <w:r w:rsidRPr="00B327CE">
        <w:rPr>
          <w:rFonts w:ascii="Bookman Old Style" w:eastAsia="Times New Roman" w:hAnsi="Bookman Old Style" w:cs="Times New Roman"/>
          <w:sz w:val="24"/>
          <w:szCs w:val="24"/>
        </w:rPr>
        <w:lastRenderedPageBreak/>
        <w:t>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100DEA3D" w14:textId="77777777" w:rsidR="00227A04" w:rsidRPr="00B327CE" w:rsidRDefault="00227A04" w:rsidP="005908A4">
      <w:pPr>
        <w:spacing w:after="0" w:line="276" w:lineRule="auto"/>
        <w:jc w:val="both"/>
        <w:rPr>
          <w:rFonts w:ascii="Bookman Old Style" w:hAnsi="Bookman Old Style" w:cs="Times New Roman"/>
          <w:sz w:val="24"/>
          <w:szCs w:val="24"/>
          <w:lang w:val="es-MX"/>
        </w:rPr>
      </w:pPr>
    </w:p>
    <w:p w14:paraId="00DFD43F" w14:textId="77777777" w:rsidR="00227A04" w:rsidRPr="00B327CE" w:rsidRDefault="00315CEA" w:rsidP="005908A4">
      <w:pPr>
        <w:pStyle w:val="Prrafodelista"/>
        <w:numPr>
          <w:ilvl w:val="0"/>
          <w:numId w:val="4"/>
        </w:numPr>
        <w:spacing w:line="276" w:lineRule="auto"/>
        <w:rPr>
          <w:rFonts w:ascii="Bookman Old Style" w:eastAsia="Times New Roman" w:hAnsi="Bookman Old Style" w:cs="Times New Roman"/>
          <w:sz w:val="24"/>
          <w:szCs w:val="24"/>
        </w:rPr>
      </w:pPr>
      <w:r w:rsidRPr="00B327CE">
        <w:rPr>
          <w:rFonts w:ascii="Bookman Old Style" w:eastAsia="Times New Roman" w:hAnsi="Bookman Old Style" w:cs="Times New Roman"/>
          <w:b/>
          <w:sz w:val="24"/>
          <w:szCs w:val="24"/>
        </w:rPr>
        <w:t>Consideraciones frente a los conceptos de seguridad y soberanía alimentaria</w:t>
      </w:r>
    </w:p>
    <w:p w14:paraId="25DE1D33"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5512FCBA" w14:textId="77777777" w:rsidR="00315CEA" w:rsidRPr="00B327CE" w:rsidRDefault="00315CEA" w:rsidP="005908A4">
      <w:pPr>
        <w:spacing w:after="0" w:line="276" w:lineRule="auto"/>
        <w:jc w:val="both"/>
        <w:rPr>
          <w:rFonts w:ascii="Bookman Old Style" w:hAnsi="Bookman Old Style" w:cs="Times New Roman"/>
          <w:sz w:val="24"/>
          <w:szCs w:val="24"/>
        </w:rPr>
      </w:pPr>
    </w:p>
    <w:p w14:paraId="547650AF"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Tradicionalmente se ha entendido a la seguridad alimentaria como “</w:t>
      </w:r>
      <w:r w:rsidRPr="00B327CE">
        <w:rPr>
          <w:rFonts w:ascii="Bookman Old Style" w:hAnsi="Bookman Old Style" w:cs="Times New Roman"/>
          <w:i/>
          <w:sz w:val="24"/>
          <w:szCs w:val="24"/>
        </w:rPr>
        <w:t>la posibilidad de acceso a los alimentos por parte de las generaciones presentes y futuras</w:t>
      </w:r>
      <w:r w:rsidRPr="00B327CE">
        <w:rPr>
          <w:rFonts w:ascii="Bookman Old Style" w:hAnsi="Bookman Old Style" w:cs="Times New Roman"/>
          <w:sz w:val="24"/>
          <w:szCs w:val="24"/>
        </w:rPr>
        <w:t>”</w:t>
      </w:r>
      <w:r w:rsidRPr="00B327CE">
        <w:rPr>
          <w:rStyle w:val="Refdenotaalpie"/>
          <w:rFonts w:ascii="Bookman Old Style" w:hAnsi="Bookman Old Style" w:cs="Times New Roman"/>
          <w:sz w:val="24"/>
          <w:szCs w:val="24"/>
        </w:rPr>
        <w:footnoteReference w:id="33"/>
      </w:r>
      <w:r w:rsidRPr="00B327CE">
        <w:rPr>
          <w:rFonts w:ascii="Bookman Old Style" w:hAnsi="Bookman Old Style" w:cs="Times New Roman"/>
          <w:sz w:val="24"/>
          <w:szCs w:val="24"/>
        </w:rPr>
        <w:t xml:space="preserve">. </w:t>
      </w:r>
    </w:p>
    <w:p w14:paraId="5A023B50" w14:textId="77777777" w:rsidR="00315CEA" w:rsidRPr="00B327CE" w:rsidRDefault="00315CEA" w:rsidP="005908A4">
      <w:pPr>
        <w:spacing w:after="0" w:line="276" w:lineRule="auto"/>
        <w:jc w:val="both"/>
        <w:rPr>
          <w:rFonts w:ascii="Bookman Old Style" w:hAnsi="Bookman Old Style" w:cs="Times New Roman"/>
          <w:sz w:val="24"/>
          <w:szCs w:val="24"/>
        </w:rPr>
      </w:pPr>
    </w:p>
    <w:p w14:paraId="22AA61ED"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Así mismo, la FAO, dando alcance al presente  existe seguridad alimentaria “</w:t>
      </w:r>
      <w:r w:rsidRPr="00B327CE">
        <w:rPr>
          <w:rFonts w:ascii="Bookman Old Style" w:hAnsi="Bookman Old Style" w:cs="Times New Roman"/>
          <w:i/>
          <w:sz w:val="24"/>
          <w:szCs w:val="24"/>
        </w:rPr>
        <w:t>cuando todas las personas tienen en todo momento el acceso físico, social y económico a alimentos suficientes, inocuos y nutritivos que satisfacen sus necesidades y preferencias alimentarias para llevar una vida activa y sana</w:t>
      </w:r>
      <w:r w:rsidRPr="00B327CE">
        <w:rPr>
          <w:rFonts w:ascii="Bookman Old Style" w:hAnsi="Bookman Old Style" w:cs="Times New Roman"/>
          <w:sz w:val="24"/>
          <w:szCs w:val="24"/>
        </w:rPr>
        <w:t>”</w:t>
      </w:r>
      <w:r w:rsidRPr="00B327CE">
        <w:rPr>
          <w:rStyle w:val="Refdenotaalpie"/>
          <w:rFonts w:ascii="Bookman Old Style" w:hAnsi="Bookman Old Style" w:cs="Times New Roman"/>
          <w:sz w:val="24"/>
          <w:szCs w:val="24"/>
        </w:rPr>
        <w:footnoteReference w:id="34"/>
      </w:r>
      <w:r w:rsidRPr="00B327CE">
        <w:rPr>
          <w:rFonts w:ascii="Bookman Old Style" w:hAnsi="Bookman Old Style" w:cs="Times New Roman"/>
          <w:sz w:val="24"/>
          <w:szCs w:val="24"/>
        </w:rPr>
        <w:t xml:space="preserve">. </w:t>
      </w:r>
      <w:r w:rsidRPr="00B327CE">
        <w:rPr>
          <w:rFonts w:ascii="Bookman Old Style" w:hAnsi="Bookman Old Style" w:cs="Times New Roman"/>
          <w:i/>
          <w:sz w:val="24"/>
          <w:szCs w:val="24"/>
        </w:rPr>
        <w:t xml:space="preserve"> </w:t>
      </w:r>
      <w:r w:rsidRPr="00B327CE">
        <w:rPr>
          <w:rFonts w:ascii="Bookman Old Style" w:hAnsi="Bookman Old Style" w:cs="Times New Roman"/>
          <w:sz w:val="24"/>
          <w:szCs w:val="24"/>
        </w:rPr>
        <w:t>Del mismo modo, la Oficina del Alto Comisionado de las Naciones Unidas para los Derechos Humanos y la FAO en el Folleto Informativo No. 34 sobre el derecho a la alimentación adecuada ha establecido que “</w:t>
      </w:r>
      <w:r w:rsidRPr="00B327CE">
        <w:rPr>
          <w:rFonts w:ascii="Bookman Old Style" w:hAnsi="Bookman Old Style" w:cs="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B327CE">
        <w:rPr>
          <w:rFonts w:ascii="Bookman Old Style" w:hAnsi="Bookman Old Style" w:cs="Times New Roman"/>
          <w:sz w:val="24"/>
          <w:szCs w:val="24"/>
        </w:rPr>
        <w:t>”</w:t>
      </w:r>
      <w:r w:rsidRPr="00B327CE">
        <w:rPr>
          <w:rStyle w:val="Refdenotaalpie"/>
          <w:rFonts w:ascii="Bookman Old Style" w:hAnsi="Bookman Old Style" w:cs="Times New Roman"/>
          <w:sz w:val="24"/>
          <w:szCs w:val="24"/>
        </w:rPr>
        <w:footnoteReference w:id="35"/>
      </w:r>
    </w:p>
    <w:p w14:paraId="7D7B9038" w14:textId="77777777" w:rsidR="00315CEA" w:rsidRPr="00B327CE" w:rsidRDefault="00315CEA" w:rsidP="005908A4">
      <w:pPr>
        <w:spacing w:after="0" w:line="276" w:lineRule="auto"/>
        <w:jc w:val="both"/>
        <w:rPr>
          <w:rFonts w:ascii="Bookman Old Style" w:hAnsi="Bookman Old Style" w:cs="Times New Roman"/>
          <w:sz w:val="24"/>
          <w:szCs w:val="24"/>
        </w:rPr>
      </w:pPr>
    </w:p>
    <w:p w14:paraId="0858AD5B"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En nuestro ordenamiento jurídico, el concepto de la seguridad alimentaria ha sido recogido en el CONPES 113 de 2008, el cual plantea varias semejanzas con respecto a la definición propuesta por la FAO. En ese sentido, el mencionado documento de política señala que por Seguridad Alimentaria y Nutricional debe entenderse que es la “</w:t>
      </w:r>
      <w:r w:rsidRPr="00B327CE">
        <w:rPr>
          <w:rFonts w:ascii="Bookman Old Style" w:hAnsi="Bookman Old Style" w:cs="Times New Roman"/>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B327CE">
        <w:rPr>
          <w:rFonts w:ascii="Bookman Old Style" w:hAnsi="Bookman Old Style" w:cs="Times New Roman"/>
          <w:sz w:val="24"/>
          <w:szCs w:val="24"/>
        </w:rPr>
        <w:t>”</w:t>
      </w:r>
    </w:p>
    <w:p w14:paraId="4CFF3D05" w14:textId="77777777" w:rsidR="00315CEA" w:rsidRPr="00B327CE" w:rsidRDefault="00315CEA" w:rsidP="005908A4">
      <w:pPr>
        <w:spacing w:after="0" w:line="276" w:lineRule="auto"/>
        <w:jc w:val="both"/>
        <w:rPr>
          <w:rFonts w:ascii="Bookman Old Style" w:hAnsi="Bookman Old Style" w:cs="Times New Roman"/>
          <w:sz w:val="24"/>
          <w:szCs w:val="24"/>
        </w:rPr>
      </w:pPr>
    </w:p>
    <w:p w14:paraId="76D4D529" w14:textId="77777777" w:rsidR="00315CEA" w:rsidRPr="00B327CE" w:rsidRDefault="00315CEA" w:rsidP="005908A4">
      <w:pPr>
        <w:spacing w:after="0" w:line="276" w:lineRule="auto"/>
        <w:jc w:val="both"/>
        <w:rPr>
          <w:rFonts w:ascii="Bookman Old Style" w:hAnsi="Bookman Old Style" w:cs="Times New Roman"/>
          <w:b/>
          <w:sz w:val="24"/>
          <w:szCs w:val="24"/>
        </w:rPr>
      </w:pPr>
      <w:r w:rsidRPr="00B327CE">
        <w:rPr>
          <w:rFonts w:ascii="Bookman Old Style" w:hAnsi="Bookman Old Style" w:cs="Times New Roman"/>
          <w:b/>
          <w:sz w:val="24"/>
          <w:szCs w:val="24"/>
        </w:rPr>
        <w:t xml:space="preserve"> La Soberanía Alimentaria:</w:t>
      </w:r>
    </w:p>
    <w:p w14:paraId="5E0278C2" w14:textId="77777777" w:rsidR="00315CEA" w:rsidRPr="00B327CE" w:rsidRDefault="00315CEA" w:rsidP="005908A4">
      <w:pPr>
        <w:spacing w:after="0" w:line="276" w:lineRule="auto"/>
        <w:jc w:val="both"/>
        <w:rPr>
          <w:rFonts w:ascii="Bookman Old Style" w:hAnsi="Bookman Old Style" w:cs="Times New Roman"/>
          <w:b/>
          <w:sz w:val="24"/>
          <w:szCs w:val="24"/>
        </w:rPr>
      </w:pPr>
    </w:p>
    <w:p w14:paraId="1FDF95DA"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El concepto de soberanía alimentaria ha sido adoptado en diversas legislaciones (como es el caso de Guatemala, Ecuador, Bolivia o Brasil, entre otras). Sin embargo, a pesar de este reconocimiento en otros países de la región,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5F848AD5" w14:textId="77777777" w:rsidR="00315CEA" w:rsidRPr="00B327CE" w:rsidRDefault="00315CEA" w:rsidP="005908A4">
      <w:pPr>
        <w:spacing w:after="0" w:line="276" w:lineRule="auto"/>
        <w:jc w:val="both"/>
        <w:rPr>
          <w:rFonts w:ascii="Bookman Old Style" w:hAnsi="Bookman Old Style" w:cs="Times New Roman"/>
          <w:sz w:val="24"/>
          <w:szCs w:val="24"/>
        </w:rPr>
      </w:pPr>
    </w:p>
    <w:p w14:paraId="7ACF07E2"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Ahora bien, la falta de consenso en el concierto internacional no ha impedido que instancias como la Oficina del Alto Comisionado de los Derechos Humanos de las Naciones Unidas y la FAO, en el folleto informativo No. 34 sobre el derecho a la alimentación hayan propuesto una definición que recoge las principales posturas que hasta la fecha se han dado. En virtud de </w:t>
      </w:r>
      <w:r w:rsidR="005908A4" w:rsidRPr="00B327CE">
        <w:rPr>
          <w:rFonts w:ascii="Bookman Old Style" w:hAnsi="Bookman Old Style" w:cs="Times New Roman"/>
          <w:sz w:val="24"/>
          <w:szCs w:val="24"/>
        </w:rPr>
        <w:t>esta</w:t>
      </w:r>
      <w:r w:rsidRPr="00B327CE">
        <w:rPr>
          <w:rFonts w:ascii="Bookman Old Style" w:hAnsi="Bookman Old Style" w:cs="Times New Roman"/>
          <w:sz w:val="24"/>
          <w:szCs w:val="24"/>
        </w:rPr>
        <w:t xml:space="preserve"> definición, por soberanía alimentaria se entiende la potestad que se irroga a las personas y a las comunidades para definir su propio alimento y modelo de producción. Así mismo, se les irroga el derecho para determinar hasta qué punto desean auto proveerse y hasta qué punto se desea proteger la producción interna de los recursos alimentarios. Así mismo, entendiendo que el mercado requiere de la intervención del Estado para asegurar su correcto funcionamiento, propende por regular el comercio a fin de lograr los objetivos inherentes del desarrollo sostenible y a la atención de las necesidades de la población</w:t>
      </w:r>
      <w:r w:rsidRPr="00B327CE">
        <w:rPr>
          <w:rStyle w:val="Refdenotaalpie"/>
          <w:rFonts w:ascii="Bookman Old Style" w:hAnsi="Bookman Old Style" w:cs="Times New Roman"/>
          <w:sz w:val="24"/>
          <w:szCs w:val="24"/>
        </w:rPr>
        <w:footnoteReference w:id="36"/>
      </w:r>
      <w:r w:rsidRPr="00B327CE">
        <w:rPr>
          <w:rFonts w:ascii="Bookman Old Style" w:hAnsi="Bookman Old Style" w:cs="Times New Roman"/>
          <w:sz w:val="24"/>
          <w:szCs w:val="24"/>
        </w:rPr>
        <w:t>.</w:t>
      </w:r>
    </w:p>
    <w:p w14:paraId="736E68A0" w14:textId="77777777" w:rsidR="00315CEA" w:rsidRPr="00B327CE" w:rsidRDefault="00315CEA" w:rsidP="005908A4">
      <w:pPr>
        <w:spacing w:after="0" w:line="276" w:lineRule="auto"/>
        <w:jc w:val="both"/>
        <w:rPr>
          <w:rFonts w:ascii="Bookman Old Style" w:hAnsi="Bookman Old Style" w:cs="Times New Roman"/>
          <w:sz w:val="24"/>
          <w:szCs w:val="24"/>
        </w:rPr>
      </w:pPr>
    </w:p>
    <w:p w14:paraId="6DB0C852" w14:textId="77777777" w:rsidR="00315CEA" w:rsidRPr="00B327CE" w:rsidRDefault="00315CEA"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3201D7EB" w14:textId="77777777" w:rsidR="00315CEA" w:rsidRPr="00B327CE" w:rsidRDefault="00315CEA" w:rsidP="005908A4">
      <w:pPr>
        <w:spacing w:after="0" w:line="276" w:lineRule="auto"/>
        <w:jc w:val="both"/>
        <w:rPr>
          <w:rFonts w:ascii="Bookman Old Style" w:hAnsi="Bookman Old Style" w:cs="Times New Roman"/>
          <w:sz w:val="24"/>
          <w:szCs w:val="24"/>
        </w:rPr>
      </w:pPr>
    </w:p>
    <w:p w14:paraId="0BC51C07" w14:textId="77777777" w:rsidR="00227A04" w:rsidRPr="00B327CE" w:rsidRDefault="00315CEA" w:rsidP="005908A4">
      <w:pPr>
        <w:spacing w:after="0" w:line="276" w:lineRule="auto"/>
        <w:ind w:left="708"/>
        <w:jc w:val="both"/>
        <w:rPr>
          <w:rFonts w:ascii="Bookman Old Style" w:hAnsi="Bookman Old Style" w:cs="Times New Roman"/>
          <w:i/>
          <w:sz w:val="24"/>
          <w:szCs w:val="24"/>
        </w:rPr>
      </w:pPr>
      <w:r w:rsidRPr="00B327CE">
        <w:rPr>
          <w:rFonts w:ascii="Bookman Old Style" w:hAnsi="Bookman Old Style" w:cs="Times New Roman"/>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23D1013A" w14:textId="77777777" w:rsidR="00315CEA" w:rsidRPr="00B327CE" w:rsidRDefault="00315CEA" w:rsidP="005908A4">
      <w:pPr>
        <w:spacing w:after="0" w:line="276" w:lineRule="auto"/>
        <w:jc w:val="both"/>
        <w:rPr>
          <w:rFonts w:ascii="Bookman Old Style" w:hAnsi="Bookman Old Style" w:cs="Times New Roman"/>
          <w:i/>
          <w:sz w:val="24"/>
          <w:szCs w:val="24"/>
        </w:rPr>
      </w:pPr>
    </w:p>
    <w:p w14:paraId="2428C8E4" w14:textId="77777777" w:rsidR="00315CEA" w:rsidRPr="00B327CE" w:rsidRDefault="00315CEA" w:rsidP="005908A4">
      <w:pPr>
        <w:spacing w:after="0" w:line="276" w:lineRule="auto"/>
        <w:jc w:val="both"/>
        <w:rPr>
          <w:rFonts w:ascii="Bookman Old Style" w:hAnsi="Bookman Old Style" w:cs="Times New Roman"/>
          <w:sz w:val="24"/>
          <w:szCs w:val="24"/>
          <w:lang w:eastAsia="es-ES_tradnl" w:bidi="x-none"/>
        </w:rPr>
      </w:pPr>
      <w:r w:rsidRPr="00B327CE">
        <w:rPr>
          <w:rFonts w:ascii="Bookman Old Style" w:hAnsi="Bookman Old Style" w:cs="Times New Roman"/>
          <w:sz w:val="24"/>
          <w:szCs w:val="24"/>
        </w:rPr>
        <w:t>Si no fueran suficientes los argumentos anteriormente esgrimidos, no puede dejarse de lado que el concepto de soberanía alimentaria no es ajeno a nuestro ordenamiento jurídico. Para ello, es válido traer algun</w:t>
      </w:r>
      <w:r w:rsidR="005908A4" w:rsidRPr="00B327CE">
        <w:rPr>
          <w:rFonts w:ascii="Bookman Old Style" w:hAnsi="Bookman Old Style" w:cs="Times New Roman"/>
          <w:sz w:val="24"/>
          <w:szCs w:val="24"/>
        </w:rPr>
        <w:t xml:space="preserve">os ejemplos en donde se ha establecido el mismo: </w:t>
      </w:r>
      <w:r w:rsidRPr="00B327CE">
        <w:rPr>
          <w:rFonts w:ascii="Bookman Old Style" w:hAnsi="Bookman Old Style" w:cs="Times New Roman"/>
          <w:sz w:val="24"/>
          <w:szCs w:val="24"/>
          <w:lang w:eastAsia="es-ES_tradnl" w:bidi="x-none"/>
        </w:rPr>
        <w:t>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w:t>
      </w:r>
      <w:r w:rsidRPr="00B327CE">
        <w:rPr>
          <w:rFonts w:ascii="Bookman Old Style" w:hAnsi="Bookman Old Style" w:cs="Times New Roman"/>
          <w:bCs/>
          <w:sz w:val="24"/>
          <w:szCs w:val="24"/>
          <w:lang w:eastAsia="es-ES_tradnl" w:bidi="x-none"/>
        </w:rPr>
        <w:t xml:space="preserve">. </w:t>
      </w:r>
    </w:p>
    <w:p w14:paraId="4BAF9CDB" w14:textId="77777777" w:rsidR="00315CEA" w:rsidRPr="00B327CE" w:rsidRDefault="00315CEA" w:rsidP="005908A4">
      <w:pPr>
        <w:widowControl w:val="0"/>
        <w:autoSpaceDE w:val="0"/>
        <w:autoSpaceDN w:val="0"/>
        <w:adjustRightInd w:val="0"/>
        <w:spacing w:after="0" w:line="276" w:lineRule="auto"/>
        <w:jc w:val="both"/>
        <w:rPr>
          <w:rFonts w:ascii="Bookman Old Style" w:hAnsi="Bookman Old Style" w:cs="Times New Roman"/>
          <w:sz w:val="24"/>
          <w:szCs w:val="24"/>
          <w:lang w:eastAsia="es-ES_tradnl" w:bidi="x-none"/>
        </w:rPr>
      </w:pPr>
    </w:p>
    <w:p w14:paraId="2B216915" w14:textId="77777777" w:rsidR="00315CEA" w:rsidRPr="00B327CE" w:rsidRDefault="00315CEA" w:rsidP="005908A4">
      <w:pPr>
        <w:widowControl w:val="0"/>
        <w:autoSpaceDE w:val="0"/>
        <w:autoSpaceDN w:val="0"/>
        <w:adjustRightInd w:val="0"/>
        <w:spacing w:after="0" w:line="276" w:lineRule="auto"/>
        <w:jc w:val="both"/>
        <w:rPr>
          <w:rFonts w:ascii="Bookman Old Style" w:hAnsi="Bookman Old Style" w:cs="Times New Roman"/>
          <w:i/>
          <w:iCs/>
          <w:sz w:val="24"/>
          <w:szCs w:val="24"/>
          <w:lang w:eastAsia="es-ES_tradnl" w:bidi="x-none"/>
        </w:rPr>
      </w:pPr>
      <w:r w:rsidRPr="00B327CE">
        <w:rPr>
          <w:rFonts w:ascii="Bookman Old Style" w:hAnsi="Bookman Old Style" w:cs="Times New Roman"/>
          <w:sz w:val="24"/>
          <w:szCs w:val="24"/>
          <w:lang w:eastAsia="es-ES_tradnl" w:bidi="x-none"/>
        </w:rPr>
        <w:t xml:space="preserve">De igual manera, recientemente la Ley 2046 de 2020, la Ley de Compras Públicas de Alimentos, indicó en su artículo 4º, </w:t>
      </w:r>
      <w:r w:rsidR="005908A4" w:rsidRPr="00B327CE">
        <w:rPr>
          <w:rFonts w:ascii="Bookman Old Style" w:hAnsi="Bookman Old Style" w:cs="Times New Roman"/>
          <w:sz w:val="24"/>
          <w:szCs w:val="24"/>
          <w:lang w:eastAsia="es-ES_tradnl" w:bidi="x-none"/>
        </w:rPr>
        <w:t>relativo a las definiciones aplicables</w:t>
      </w:r>
      <w:r w:rsidRPr="00B327CE">
        <w:rPr>
          <w:rFonts w:ascii="Bookman Old Style" w:hAnsi="Bookman Old Style" w:cs="Times New Roman"/>
          <w:sz w:val="24"/>
          <w:szCs w:val="24"/>
          <w:lang w:eastAsia="es-ES_tradnl" w:bidi="x-none"/>
        </w:rPr>
        <w:t>,</w:t>
      </w:r>
      <w:r w:rsidR="005908A4" w:rsidRPr="00B327CE">
        <w:rPr>
          <w:rFonts w:ascii="Bookman Old Style" w:hAnsi="Bookman Old Style" w:cs="Times New Roman"/>
          <w:sz w:val="24"/>
          <w:szCs w:val="24"/>
          <w:lang w:eastAsia="es-ES_tradnl" w:bidi="x-none"/>
        </w:rPr>
        <w:t xml:space="preserve"> señaló que</w:t>
      </w:r>
      <w:r w:rsidRPr="00B327CE">
        <w:rPr>
          <w:rFonts w:ascii="Bookman Old Style" w:hAnsi="Bookman Old Style" w:cs="Times New Roman"/>
          <w:sz w:val="24"/>
          <w:szCs w:val="24"/>
          <w:lang w:eastAsia="es-ES_tradnl" w:bidi="x-none"/>
        </w:rPr>
        <w:t xml:space="preserve"> </w:t>
      </w:r>
      <w:proofErr w:type="spellStart"/>
      <w:r w:rsidRPr="00B327CE">
        <w:rPr>
          <w:rFonts w:ascii="Bookman Old Style" w:hAnsi="Bookman Old Style" w:cs="Times New Roman"/>
          <w:sz w:val="24"/>
          <w:szCs w:val="24"/>
          <w:lang w:eastAsia="es-ES_tradnl" w:bidi="x-none"/>
        </w:rPr>
        <w:t>que</w:t>
      </w:r>
      <w:proofErr w:type="spellEnd"/>
      <w:r w:rsidRPr="00B327CE">
        <w:rPr>
          <w:rFonts w:ascii="Bookman Old Style" w:hAnsi="Bookman Old Style" w:cs="Times New Roman"/>
          <w:sz w:val="24"/>
          <w:szCs w:val="24"/>
          <w:lang w:eastAsia="es-ES_tradnl" w:bidi="x-none"/>
        </w:rPr>
        <w:t xml:space="preserve"> </w:t>
      </w:r>
      <w:r w:rsidRPr="00B327CE">
        <w:rPr>
          <w:rFonts w:ascii="Bookman Old Style" w:hAnsi="Bookman Old Style" w:cs="Times New Roman"/>
          <w:i/>
          <w:iCs/>
          <w:sz w:val="24"/>
          <w:szCs w:val="24"/>
          <w:lang w:eastAsia="es-ES_tradnl" w:bidi="x-none"/>
        </w:rPr>
        <w:t>“</w:t>
      </w:r>
      <w:r w:rsidRPr="00B327CE">
        <w:rPr>
          <w:rFonts w:ascii="Bookman Old Style" w:hAnsi="Bookman Old Style" w:cs="Times New Roman"/>
          <w:sz w:val="24"/>
          <w:szCs w:val="24"/>
          <w:lang w:eastAsia="es-ES_tradnl" w:bidi="x-none"/>
        </w:rPr>
        <w:t>[l]</w:t>
      </w:r>
      <w:r w:rsidRPr="00B327CE">
        <w:rPr>
          <w:rFonts w:ascii="Bookman Old Style" w:hAnsi="Bookman Old Style" w:cs="Times New Roman"/>
          <w:i/>
          <w:iCs/>
          <w:sz w:val="24"/>
          <w:szCs w:val="24"/>
          <w:lang w:eastAsia="es-ES_tradnl" w:bidi="x-none"/>
        </w:rPr>
        <w:t xml:space="preserve">os principios del comercio justo están relacionados con la soberanía alimentaria y seguridad alimentaria.” </w:t>
      </w:r>
      <w:r w:rsidRPr="00B327CE">
        <w:rPr>
          <w:rFonts w:ascii="Bookman Old Style" w:hAnsi="Bookman Old Style" w:cs="Times New Roman"/>
          <w:sz w:val="24"/>
          <w:szCs w:val="24"/>
          <w:lang w:eastAsia="es-ES_tradnl" w:bidi="x-none"/>
        </w:rPr>
        <w:t xml:space="preserve">Además, en el artículo 6º </w:t>
      </w:r>
      <w:r w:rsidR="005908A4" w:rsidRPr="00B327CE">
        <w:rPr>
          <w:rFonts w:ascii="Bookman Old Style" w:hAnsi="Bookman Old Style" w:cs="Times New Roman"/>
          <w:sz w:val="24"/>
          <w:szCs w:val="24"/>
          <w:lang w:eastAsia="es-ES_tradnl" w:bidi="x-none"/>
        </w:rPr>
        <w:t xml:space="preserve">del mencionado instrumento normativo se </w:t>
      </w:r>
      <w:r w:rsidRPr="00B327CE">
        <w:rPr>
          <w:rFonts w:ascii="Bookman Old Style" w:hAnsi="Bookman Old Style" w:cs="Times New Roman"/>
          <w:sz w:val="24"/>
          <w:szCs w:val="24"/>
          <w:lang w:eastAsia="es-ES_tradnl" w:bidi="x-none"/>
        </w:rPr>
        <w:t>consagró la obligación del Gobierno Nacional de capacitar en diferentes ejes temáticos, dentro de los cuales se encuentra la seguridad y soberanía alimentaria.</w:t>
      </w:r>
    </w:p>
    <w:p w14:paraId="3BC91735" w14:textId="77777777" w:rsidR="005908A4" w:rsidRPr="00B327CE" w:rsidRDefault="005908A4" w:rsidP="005908A4">
      <w:pPr>
        <w:spacing w:after="0" w:line="276" w:lineRule="auto"/>
        <w:jc w:val="both"/>
        <w:rPr>
          <w:rFonts w:ascii="Bookman Old Style" w:hAnsi="Bookman Old Style" w:cs="Times New Roman"/>
          <w:sz w:val="24"/>
          <w:szCs w:val="24"/>
          <w:lang w:val="es-MX"/>
        </w:rPr>
      </w:pPr>
    </w:p>
    <w:p w14:paraId="2C8C1828" w14:textId="77777777" w:rsidR="00315CEA" w:rsidRPr="00B327CE" w:rsidRDefault="00315CEA" w:rsidP="005908A4">
      <w:pPr>
        <w:pStyle w:val="Prrafodelista"/>
        <w:numPr>
          <w:ilvl w:val="1"/>
          <w:numId w:val="6"/>
        </w:numPr>
        <w:spacing w:after="0" w:line="276" w:lineRule="auto"/>
        <w:jc w:val="both"/>
        <w:rPr>
          <w:rFonts w:ascii="Bookman Old Style" w:hAnsi="Bookman Old Style" w:cs="Times New Roman"/>
          <w:b/>
          <w:sz w:val="24"/>
          <w:szCs w:val="24"/>
          <w:lang w:val="es-MX"/>
        </w:rPr>
      </w:pPr>
      <w:r w:rsidRPr="00B327CE">
        <w:rPr>
          <w:rFonts w:ascii="Bookman Old Style" w:hAnsi="Bookman Old Style" w:cs="Times New Roman"/>
          <w:b/>
          <w:sz w:val="24"/>
          <w:szCs w:val="24"/>
          <w:lang w:val="es-MX"/>
        </w:rPr>
        <w:t xml:space="preserve"> La relación reconocida por la doctrina entre seguridad alimentaria y soberanía alimentaria</w:t>
      </w:r>
    </w:p>
    <w:p w14:paraId="15879073" w14:textId="77777777" w:rsidR="00315CEA" w:rsidRPr="00B327CE" w:rsidRDefault="00315CEA" w:rsidP="005908A4">
      <w:pPr>
        <w:spacing w:after="0" w:line="276" w:lineRule="auto"/>
        <w:jc w:val="both"/>
        <w:rPr>
          <w:rFonts w:ascii="Bookman Old Style" w:hAnsi="Bookman Old Style" w:cs="Times New Roman"/>
          <w:sz w:val="24"/>
          <w:szCs w:val="24"/>
          <w:lang w:val="es-MX"/>
        </w:rPr>
      </w:pPr>
    </w:p>
    <w:p w14:paraId="0CBD3E0F" w14:textId="77777777" w:rsidR="00315CEA" w:rsidRPr="00B327CE" w:rsidRDefault="00315CEA"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De acuerdo con algunos doctrinantes</w:t>
      </w:r>
      <w:r w:rsidRPr="00B327CE">
        <w:rPr>
          <w:rStyle w:val="Refdenotaalpie"/>
          <w:rFonts w:ascii="Bookman Old Style" w:hAnsi="Bookman Old Style" w:cs="Times New Roman"/>
          <w:sz w:val="24"/>
          <w:szCs w:val="24"/>
          <w:lang w:val="es-MX"/>
        </w:rPr>
        <w:footnoteReference w:id="37"/>
      </w:r>
      <w:r w:rsidRPr="00B327CE">
        <w:rPr>
          <w:rFonts w:ascii="Bookman Old Style" w:hAnsi="Bookman Old Style" w:cs="Times New Roman"/>
          <w:sz w:val="24"/>
          <w:szCs w:val="24"/>
          <w:lang w:val="es-MX"/>
        </w:rPr>
        <w:t xml:space="preserve">, y como bien se ha señalado en la exposición de motivos, la soberanía alimentaria está estrechamente relacionada con el concepto de seguridad alimentaria, siendo la primera una forma de abordar la segunda. </w:t>
      </w:r>
    </w:p>
    <w:p w14:paraId="5302745A" w14:textId="77777777" w:rsidR="00315CEA" w:rsidRPr="00B327CE" w:rsidRDefault="00315CEA" w:rsidP="005908A4">
      <w:pPr>
        <w:spacing w:after="0" w:line="276" w:lineRule="auto"/>
        <w:jc w:val="both"/>
        <w:rPr>
          <w:rFonts w:ascii="Bookman Old Style" w:hAnsi="Bookman Old Style" w:cs="Times New Roman"/>
          <w:sz w:val="24"/>
          <w:szCs w:val="24"/>
          <w:lang w:val="es-MX"/>
        </w:rPr>
      </w:pPr>
    </w:p>
    <w:p w14:paraId="203695A9" w14:textId="77777777" w:rsidR="00315CEA" w:rsidRPr="00B327CE" w:rsidRDefault="00315CEA"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A través de la soberanía alimentaria se materializa el elemento de disponibilidad del derecho a la alimentación consistente en la facultad de toda persona, pueblo o nación de satisfacer su necesidad alimentaria por sus propios medios, así como la obligación de los Estados de construir un entorno económico, político y social que permita a las comunidades alcanzar la seguridad alimentaria por sus propios medios – o autodeterminarse respecto de los medios que consideran más idóneos para ello – o de no adoptar medidas que tengan como resultado impedir, limitar o privar a las comunidades de las posibilidades de autoabastecerse.</w:t>
      </w:r>
    </w:p>
    <w:p w14:paraId="69183CA0" w14:textId="77777777" w:rsidR="00315CEA" w:rsidRPr="00B327CE" w:rsidRDefault="00315CEA" w:rsidP="005908A4">
      <w:pPr>
        <w:spacing w:after="0" w:line="276" w:lineRule="auto"/>
        <w:jc w:val="both"/>
        <w:rPr>
          <w:rFonts w:ascii="Bookman Old Style" w:hAnsi="Bookman Old Style" w:cs="Times New Roman"/>
          <w:sz w:val="24"/>
          <w:szCs w:val="24"/>
          <w:lang w:val="es-MX"/>
        </w:rPr>
      </w:pPr>
    </w:p>
    <w:p w14:paraId="61DAA3DC" w14:textId="701DC504" w:rsidR="00315CEA" w:rsidRDefault="00315CEA"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lang w:val="es-MX"/>
        </w:rPr>
        <w:t>Es así como puede concluirse que, para hablar de un derecho a la alimentación adecuada y a una efectiva protección contra el hambre y la desnutrición en el país, garantizar la seguridad alimentaria y la soberanía alimentaria – en los términos señalados por la Ley Marco aprobada en el seno del Parlamento Latinoamericano – se consideran prerrequisitos esenciales sin los cuales no se puede abordar debidamente este aspecto.</w:t>
      </w:r>
    </w:p>
    <w:p w14:paraId="411C2137" w14:textId="6F331112" w:rsidR="004D02BE" w:rsidRDefault="004D02BE" w:rsidP="005908A4">
      <w:pPr>
        <w:spacing w:after="0" w:line="276" w:lineRule="auto"/>
        <w:jc w:val="both"/>
        <w:rPr>
          <w:rFonts w:ascii="Bookman Old Style" w:hAnsi="Bookman Old Style" w:cs="Times New Roman"/>
          <w:sz w:val="24"/>
          <w:szCs w:val="24"/>
          <w:lang w:val="es-MX"/>
        </w:rPr>
      </w:pPr>
    </w:p>
    <w:p w14:paraId="1522D46E" w14:textId="77777777" w:rsidR="004D02BE" w:rsidRPr="00B327CE" w:rsidRDefault="004D02BE" w:rsidP="005908A4">
      <w:pPr>
        <w:spacing w:after="0" w:line="276" w:lineRule="auto"/>
        <w:jc w:val="both"/>
        <w:rPr>
          <w:rFonts w:ascii="Bookman Old Style" w:hAnsi="Bookman Old Style" w:cs="Times New Roman"/>
          <w:sz w:val="24"/>
          <w:szCs w:val="24"/>
          <w:lang w:val="es-MX"/>
        </w:rPr>
      </w:pPr>
    </w:p>
    <w:p w14:paraId="1BCD11AE" w14:textId="77494249" w:rsidR="00227A04" w:rsidRPr="00B327CE" w:rsidRDefault="00227A04" w:rsidP="005908A4">
      <w:pPr>
        <w:pStyle w:val="Prrafodelista"/>
        <w:numPr>
          <w:ilvl w:val="0"/>
          <w:numId w:val="1"/>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Modificaciones y pliego de modificaciones</w:t>
      </w:r>
    </w:p>
    <w:p w14:paraId="5080D9F0" w14:textId="305A6F11" w:rsidR="00266CAE" w:rsidRPr="00B327CE" w:rsidRDefault="00266CAE" w:rsidP="00266CAE">
      <w:pPr>
        <w:spacing w:after="0" w:line="276" w:lineRule="auto"/>
        <w:jc w:val="both"/>
        <w:rPr>
          <w:rFonts w:ascii="Bookman Old Style" w:eastAsia="Times New Roman" w:hAnsi="Bookman Old Style" w:cs="Times New Roman"/>
          <w:b/>
          <w:sz w:val="24"/>
          <w:szCs w:val="24"/>
        </w:rPr>
      </w:pPr>
    </w:p>
    <w:tbl>
      <w:tblPr>
        <w:tblStyle w:val="Tablaconcuadrcula"/>
        <w:tblW w:w="0" w:type="auto"/>
        <w:tblLook w:val="04A0" w:firstRow="1" w:lastRow="0" w:firstColumn="1" w:lastColumn="0" w:noHBand="0" w:noVBand="1"/>
      </w:tblPr>
      <w:tblGrid>
        <w:gridCol w:w="4414"/>
        <w:gridCol w:w="4414"/>
      </w:tblGrid>
      <w:tr w:rsidR="00266CAE" w:rsidRPr="00B327CE" w14:paraId="2BE408BF" w14:textId="77777777" w:rsidTr="00266CAE">
        <w:tc>
          <w:tcPr>
            <w:tcW w:w="4414" w:type="dxa"/>
          </w:tcPr>
          <w:p w14:paraId="5A9B139D" w14:textId="0F5AEA95" w:rsidR="00266CAE" w:rsidRPr="00B327CE" w:rsidRDefault="00266CAE" w:rsidP="00B327CE">
            <w:pPr>
              <w:spacing w:line="276" w:lineRule="auto"/>
              <w:jc w:val="center"/>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TEXTO APROBADO EN SENADO</w:t>
            </w:r>
            <w:r w:rsidR="00B327CE" w:rsidRPr="00B327CE">
              <w:rPr>
                <w:rFonts w:ascii="Bookman Old Style" w:eastAsia="Times New Roman" w:hAnsi="Bookman Old Style" w:cs="Times New Roman"/>
                <w:b/>
                <w:sz w:val="24"/>
                <w:szCs w:val="24"/>
              </w:rPr>
              <w:t xml:space="preserve"> (PRIM</w:t>
            </w:r>
            <w:r w:rsidR="004D02BE">
              <w:rPr>
                <w:rFonts w:ascii="Bookman Old Style" w:eastAsia="Times New Roman" w:hAnsi="Bookman Old Style" w:cs="Times New Roman"/>
                <w:b/>
                <w:sz w:val="24"/>
                <w:szCs w:val="24"/>
              </w:rPr>
              <w:t>E</w:t>
            </w:r>
            <w:r w:rsidR="00B327CE" w:rsidRPr="00B327CE">
              <w:rPr>
                <w:rFonts w:ascii="Bookman Old Style" w:eastAsia="Times New Roman" w:hAnsi="Bookman Old Style" w:cs="Times New Roman"/>
                <w:b/>
                <w:sz w:val="24"/>
                <w:szCs w:val="24"/>
              </w:rPr>
              <w:t>RA VUELTA)</w:t>
            </w:r>
          </w:p>
        </w:tc>
        <w:tc>
          <w:tcPr>
            <w:tcW w:w="4414" w:type="dxa"/>
          </w:tcPr>
          <w:p w14:paraId="0A4C4AF3" w14:textId="25B35495" w:rsidR="00266CAE" w:rsidRPr="00B327CE" w:rsidRDefault="00266CAE" w:rsidP="00B327CE">
            <w:pPr>
              <w:spacing w:line="276" w:lineRule="auto"/>
              <w:jc w:val="center"/>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TEXTO PROPUESTO PARA PRIMER DEBATE CÁMARA</w:t>
            </w:r>
          </w:p>
        </w:tc>
      </w:tr>
      <w:tr w:rsidR="00B327CE" w:rsidRPr="00B327CE" w14:paraId="35489AB4" w14:textId="77777777" w:rsidTr="00266CAE">
        <w:tc>
          <w:tcPr>
            <w:tcW w:w="4414" w:type="dxa"/>
          </w:tcPr>
          <w:p w14:paraId="02C342F8" w14:textId="28AB9B9E" w:rsidR="00B327CE" w:rsidRPr="00B327CE" w:rsidRDefault="00B327CE" w:rsidP="00B327CE">
            <w:pPr>
              <w:spacing w:line="276" w:lineRule="auto"/>
              <w:rPr>
                <w:rFonts w:ascii="Bookman Old Style" w:hAnsi="Bookman Old Style" w:cs="Times New Roman"/>
                <w:sz w:val="24"/>
                <w:szCs w:val="24"/>
              </w:rPr>
            </w:pPr>
            <w:r w:rsidRPr="00B327CE">
              <w:rPr>
                <w:rFonts w:ascii="Bookman Old Style" w:hAnsi="Bookman Old Style" w:cs="Times New Roman"/>
                <w:b/>
                <w:bCs/>
                <w:sz w:val="24"/>
                <w:szCs w:val="24"/>
              </w:rPr>
              <w:t>Artículo 1º.</w:t>
            </w:r>
            <w:r w:rsidRPr="00B327CE">
              <w:rPr>
                <w:rFonts w:ascii="Bookman Old Style" w:hAnsi="Bookman Old Style" w:cs="Times New Roman"/>
                <w:sz w:val="24"/>
                <w:szCs w:val="24"/>
              </w:rPr>
              <w:t xml:space="preserve"> Modifíquese el artículo 65 de la Constitución Política de Colombia, el cual quedará así:</w:t>
            </w:r>
          </w:p>
          <w:p w14:paraId="17ECC2F8" w14:textId="77777777" w:rsidR="00B327CE" w:rsidRPr="00B327CE" w:rsidRDefault="00B327CE" w:rsidP="00B327CE">
            <w:pPr>
              <w:spacing w:line="276" w:lineRule="auto"/>
              <w:rPr>
                <w:rFonts w:ascii="Bookman Old Style" w:hAnsi="Bookman Old Style" w:cs="Times New Roman"/>
                <w:b/>
                <w:sz w:val="24"/>
                <w:szCs w:val="24"/>
              </w:rPr>
            </w:pPr>
          </w:p>
          <w:p w14:paraId="71005146" w14:textId="77777777"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343AEF94" w14:textId="77777777" w:rsidR="00B327CE" w:rsidRPr="00B327CE" w:rsidRDefault="00B327CE" w:rsidP="00B327CE">
            <w:pPr>
              <w:spacing w:line="276" w:lineRule="auto"/>
              <w:jc w:val="both"/>
              <w:rPr>
                <w:rFonts w:ascii="Bookman Old Style" w:hAnsi="Bookman Old Style" w:cs="Times New Roman"/>
                <w:sz w:val="24"/>
                <w:szCs w:val="24"/>
              </w:rPr>
            </w:pPr>
          </w:p>
          <w:p w14:paraId="5405D210" w14:textId="77777777"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7E588CB8" w14:textId="77777777" w:rsidR="00B327CE" w:rsidRPr="00B327CE" w:rsidRDefault="00B327CE" w:rsidP="00B327CE">
            <w:pPr>
              <w:spacing w:line="276" w:lineRule="auto"/>
              <w:jc w:val="both"/>
              <w:rPr>
                <w:rFonts w:ascii="Bookman Old Style" w:hAnsi="Bookman Old Style" w:cs="Times New Roman"/>
                <w:sz w:val="24"/>
                <w:szCs w:val="24"/>
              </w:rPr>
            </w:pPr>
          </w:p>
          <w:p w14:paraId="261B780A" w14:textId="77777777"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w:t>
            </w:r>
          </w:p>
          <w:p w14:paraId="06D8E197" w14:textId="7B784D47" w:rsidR="00B327CE" w:rsidRPr="00B327CE" w:rsidRDefault="00B327CE" w:rsidP="00B327CE">
            <w:pPr>
              <w:spacing w:line="276" w:lineRule="auto"/>
              <w:jc w:val="both"/>
              <w:rPr>
                <w:rFonts w:ascii="Bookman Old Style" w:hAnsi="Bookman Old Style" w:cs="Times New Roman"/>
                <w:sz w:val="24"/>
                <w:szCs w:val="24"/>
              </w:rPr>
            </w:pPr>
          </w:p>
          <w:p w14:paraId="51398791" w14:textId="2712995F" w:rsidR="00B327CE" w:rsidRPr="00B327CE" w:rsidRDefault="00B327CE" w:rsidP="00B327CE">
            <w:pPr>
              <w:spacing w:line="276" w:lineRule="auto"/>
              <w:jc w:val="both"/>
              <w:rPr>
                <w:rFonts w:ascii="Bookman Old Style" w:hAnsi="Bookman Old Style" w:cs="Times New Roman"/>
                <w:sz w:val="24"/>
                <w:szCs w:val="24"/>
              </w:rPr>
            </w:pPr>
          </w:p>
          <w:p w14:paraId="0F92A73C" w14:textId="0826547C" w:rsidR="00B327CE" w:rsidRPr="00B327CE" w:rsidRDefault="00B327CE" w:rsidP="00B327CE">
            <w:pPr>
              <w:spacing w:line="276" w:lineRule="auto"/>
              <w:jc w:val="both"/>
              <w:rPr>
                <w:rFonts w:ascii="Bookman Old Style" w:hAnsi="Bookman Old Style" w:cs="Times New Roman"/>
                <w:sz w:val="24"/>
                <w:szCs w:val="24"/>
              </w:rPr>
            </w:pPr>
          </w:p>
          <w:p w14:paraId="4183C88D" w14:textId="77777777" w:rsidR="00B327CE" w:rsidRPr="00B327CE" w:rsidRDefault="00B327CE" w:rsidP="00B327CE">
            <w:pPr>
              <w:spacing w:line="276" w:lineRule="auto"/>
              <w:jc w:val="both"/>
              <w:rPr>
                <w:rFonts w:ascii="Bookman Old Style" w:hAnsi="Bookman Old Style" w:cs="Times New Roman"/>
                <w:sz w:val="24"/>
                <w:szCs w:val="24"/>
              </w:rPr>
            </w:pPr>
          </w:p>
          <w:p w14:paraId="1467C90F" w14:textId="77777777" w:rsidR="00B327CE" w:rsidRPr="00B327CE" w:rsidRDefault="00B327CE" w:rsidP="00B327CE">
            <w:pPr>
              <w:spacing w:line="276" w:lineRule="auto"/>
              <w:jc w:val="both"/>
              <w:rPr>
                <w:rFonts w:ascii="Bookman Old Style" w:hAnsi="Bookman Old Style" w:cs="Times New Roman"/>
                <w:b/>
                <w:sz w:val="24"/>
                <w:szCs w:val="24"/>
              </w:rPr>
            </w:pPr>
          </w:p>
          <w:p w14:paraId="66305144" w14:textId="77777777" w:rsidR="00B327CE" w:rsidRPr="00B327CE" w:rsidRDefault="00B327CE" w:rsidP="00B327CE">
            <w:pPr>
              <w:spacing w:line="276" w:lineRule="auto"/>
              <w:jc w:val="both"/>
              <w:rPr>
                <w:rFonts w:ascii="Bookman Old Style" w:eastAsia="Times New Roman" w:hAnsi="Bookman Old Style" w:cs="Times New Roman"/>
                <w:b/>
                <w:sz w:val="24"/>
                <w:szCs w:val="24"/>
              </w:rPr>
            </w:pPr>
          </w:p>
        </w:tc>
        <w:tc>
          <w:tcPr>
            <w:tcW w:w="4414" w:type="dxa"/>
          </w:tcPr>
          <w:p w14:paraId="68547420" w14:textId="75B523E0" w:rsidR="00B327CE" w:rsidRPr="00B327CE" w:rsidRDefault="00B327CE" w:rsidP="00B327CE">
            <w:pPr>
              <w:spacing w:line="276" w:lineRule="auto"/>
              <w:rPr>
                <w:rFonts w:ascii="Bookman Old Style" w:hAnsi="Bookman Old Style" w:cs="Times New Roman"/>
                <w:sz w:val="24"/>
                <w:szCs w:val="24"/>
              </w:rPr>
            </w:pPr>
            <w:r w:rsidRPr="00B327CE">
              <w:rPr>
                <w:rFonts w:ascii="Bookman Old Style" w:hAnsi="Bookman Old Style" w:cs="Times New Roman"/>
                <w:b/>
                <w:bCs/>
                <w:sz w:val="24"/>
                <w:szCs w:val="24"/>
              </w:rPr>
              <w:lastRenderedPageBreak/>
              <w:t>Artículo 1º.</w:t>
            </w:r>
            <w:r w:rsidRPr="00B327CE">
              <w:rPr>
                <w:rFonts w:ascii="Bookman Old Style" w:hAnsi="Bookman Old Style" w:cs="Times New Roman"/>
                <w:sz w:val="24"/>
                <w:szCs w:val="24"/>
              </w:rPr>
              <w:t xml:space="preserve"> Modifíquese el artículo 65 de la Constitución Política de Colombia, el cual quedará así:</w:t>
            </w:r>
          </w:p>
          <w:p w14:paraId="0AF7DA07" w14:textId="77777777" w:rsidR="00B327CE" w:rsidRPr="00B327CE" w:rsidRDefault="00B327CE" w:rsidP="00B327CE">
            <w:pPr>
              <w:spacing w:line="276" w:lineRule="auto"/>
              <w:rPr>
                <w:rFonts w:ascii="Bookman Old Style" w:hAnsi="Bookman Old Style" w:cs="Times New Roman"/>
                <w:b/>
                <w:sz w:val="24"/>
                <w:szCs w:val="24"/>
              </w:rPr>
            </w:pPr>
          </w:p>
          <w:p w14:paraId="6173EF52" w14:textId="77777777"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37B10025" w14:textId="77777777" w:rsidR="00B327CE" w:rsidRPr="00B327CE" w:rsidRDefault="00B327CE" w:rsidP="00B327CE">
            <w:pPr>
              <w:spacing w:line="276" w:lineRule="auto"/>
              <w:jc w:val="both"/>
              <w:rPr>
                <w:rFonts w:ascii="Bookman Old Style" w:hAnsi="Bookman Old Style" w:cs="Times New Roman"/>
                <w:sz w:val="24"/>
                <w:szCs w:val="24"/>
              </w:rPr>
            </w:pPr>
          </w:p>
          <w:p w14:paraId="1C5F5FBD" w14:textId="77777777"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11E89667" w14:textId="77777777" w:rsidR="00B327CE" w:rsidRPr="00B327CE" w:rsidRDefault="00B327CE" w:rsidP="00B327CE">
            <w:pPr>
              <w:spacing w:line="276" w:lineRule="auto"/>
              <w:jc w:val="both"/>
              <w:rPr>
                <w:rFonts w:ascii="Bookman Old Style" w:hAnsi="Bookman Old Style" w:cs="Times New Roman"/>
                <w:sz w:val="24"/>
                <w:szCs w:val="24"/>
              </w:rPr>
            </w:pPr>
          </w:p>
          <w:p w14:paraId="22DE9E80" w14:textId="52CF72EA" w:rsidR="00B327CE" w:rsidRPr="00B327CE" w:rsidRDefault="00B327CE" w:rsidP="00B327CE">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w:t>
            </w:r>
            <w:r w:rsidRPr="00B327CE">
              <w:rPr>
                <w:rFonts w:ascii="Bookman Old Style" w:hAnsi="Bookman Old Style" w:cs="Times New Roman"/>
                <w:b/>
                <w:bCs/>
                <w:strike/>
                <w:sz w:val="24"/>
                <w:szCs w:val="24"/>
              </w:rPr>
              <w:t xml:space="preserve">. </w:t>
            </w:r>
            <w:r w:rsidRPr="00B327CE">
              <w:rPr>
                <w:rFonts w:ascii="Bookman Old Style" w:hAnsi="Bookman Old Style" w:cs="Times New Roman"/>
                <w:b/>
                <w:bCs/>
                <w:sz w:val="24"/>
                <w:szCs w:val="24"/>
                <w:u w:val="single"/>
              </w:rPr>
              <w:t>, dando prioridad a las formas de producción de alimentos que estén acorde con una dieta saludable y que generen un menor impacto ambiental.</w:t>
            </w:r>
          </w:p>
          <w:p w14:paraId="51734700" w14:textId="77777777" w:rsidR="00B327CE" w:rsidRPr="00B327CE" w:rsidRDefault="00B327CE" w:rsidP="00B327CE">
            <w:pPr>
              <w:spacing w:line="276" w:lineRule="auto"/>
              <w:jc w:val="both"/>
              <w:rPr>
                <w:rFonts w:ascii="Bookman Old Style" w:hAnsi="Bookman Old Style" w:cs="Times New Roman"/>
                <w:sz w:val="24"/>
                <w:szCs w:val="24"/>
              </w:rPr>
            </w:pPr>
          </w:p>
          <w:p w14:paraId="616E4195" w14:textId="77777777" w:rsidR="00B327CE" w:rsidRPr="00B327CE" w:rsidRDefault="00B327CE" w:rsidP="00B327CE">
            <w:pPr>
              <w:spacing w:line="276" w:lineRule="auto"/>
              <w:jc w:val="both"/>
              <w:rPr>
                <w:rFonts w:ascii="Bookman Old Style" w:hAnsi="Bookman Old Style" w:cs="Times New Roman"/>
                <w:b/>
                <w:sz w:val="24"/>
                <w:szCs w:val="24"/>
              </w:rPr>
            </w:pPr>
          </w:p>
          <w:p w14:paraId="66AA7B49" w14:textId="77777777" w:rsidR="00B327CE" w:rsidRPr="00B327CE" w:rsidRDefault="00B327CE" w:rsidP="00B327CE">
            <w:pPr>
              <w:spacing w:line="276" w:lineRule="auto"/>
              <w:jc w:val="both"/>
              <w:rPr>
                <w:rFonts w:ascii="Bookman Old Style" w:eastAsia="Times New Roman" w:hAnsi="Bookman Old Style" w:cs="Times New Roman"/>
                <w:b/>
                <w:sz w:val="24"/>
                <w:szCs w:val="24"/>
              </w:rPr>
            </w:pPr>
          </w:p>
        </w:tc>
      </w:tr>
    </w:tbl>
    <w:p w14:paraId="1863B5A5" w14:textId="77777777" w:rsidR="00266CAE" w:rsidRPr="00B327CE" w:rsidRDefault="00266CAE" w:rsidP="00266CAE">
      <w:pPr>
        <w:spacing w:after="0" w:line="276" w:lineRule="auto"/>
        <w:jc w:val="both"/>
        <w:rPr>
          <w:rFonts w:ascii="Bookman Old Style" w:eastAsia="Times New Roman" w:hAnsi="Bookman Old Style" w:cs="Times New Roman"/>
          <w:b/>
          <w:sz w:val="24"/>
          <w:szCs w:val="24"/>
          <w:highlight w:val="yellow"/>
        </w:rPr>
      </w:pPr>
    </w:p>
    <w:p w14:paraId="252C0320" w14:textId="77777777" w:rsidR="005908A4" w:rsidRPr="00B327CE" w:rsidRDefault="005908A4" w:rsidP="005908A4">
      <w:pPr>
        <w:spacing w:after="0" w:line="276" w:lineRule="auto"/>
        <w:jc w:val="both"/>
        <w:rPr>
          <w:rFonts w:ascii="Bookman Old Style" w:eastAsia="Times New Roman" w:hAnsi="Bookman Old Style" w:cs="Times New Roman"/>
          <w:b/>
          <w:sz w:val="24"/>
          <w:szCs w:val="24"/>
          <w:highlight w:val="yellow"/>
        </w:rPr>
      </w:pPr>
    </w:p>
    <w:p w14:paraId="24809DF8" w14:textId="77777777" w:rsidR="005908A4" w:rsidRPr="00B327CE" w:rsidRDefault="005908A4" w:rsidP="005908A4">
      <w:pPr>
        <w:pStyle w:val="Prrafodelista"/>
        <w:numPr>
          <w:ilvl w:val="0"/>
          <w:numId w:val="1"/>
        </w:numPr>
        <w:spacing w:line="276" w:lineRule="auto"/>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Impedimentos</w:t>
      </w:r>
    </w:p>
    <w:p w14:paraId="75390789" w14:textId="735DC368" w:rsidR="004D02BE" w:rsidRDefault="005908A4" w:rsidP="005908A4">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Salvo mejor criterio, tomando en consideración el carácter abstracto de la propuesta de reforma constitucional y el beneficio general que se lograría con su aprobación, no se encuentra circunstancia alguna que pueda eventualmente constituirse en un conflicto de interés para los congresistas.</w:t>
      </w:r>
    </w:p>
    <w:p w14:paraId="6F1E5740" w14:textId="1199D03C" w:rsidR="004D02BE" w:rsidRDefault="004D02BE" w:rsidP="004D02BE">
      <w:pPr>
        <w:tabs>
          <w:tab w:val="center" w:pos="4419"/>
        </w:tabs>
        <w:rPr>
          <w:rFonts w:ascii="Bookman Old Style" w:hAnsi="Bookman Old Style" w:cs="Times New Roman"/>
          <w:sz w:val="24"/>
          <w:szCs w:val="24"/>
        </w:rPr>
      </w:pPr>
    </w:p>
    <w:p w14:paraId="21BD39C3" w14:textId="77777777" w:rsidR="005908A4" w:rsidRPr="00B327CE" w:rsidRDefault="005908A4" w:rsidP="005908A4">
      <w:pPr>
        <w:spacing w:line="276" w:lineRule="auto"/>
        <w:jc w:val="both"/>
        <w:rPr>
          <w:rFonts w:ascii="Bookman Old Style" w:eastAsia="Times New Roman" w:hAnsi="Bookman Old Style" w:cs="Times New Roman"/>
          <w:sz w:val="24"/>
          <w:szCs w:val="24"/>
        </w:rPr>
      </w:pPr>
    </w:p>
    <w:p w14:paraId="27E307CF" w14:textId="77777777" w:rsidR="005908A4" w:rsidRPr="00B327CE" w:rsidRDefault="005908A4" w:rsidP="005908A4">
      <w:pPr>
        <w:pStyle w:val="Prrafodelista"/>
        <w:spacing w:line="276" w:lineRule="auto"/>
        <w:rPr>
          <w:rFonts w:ascii="Bookman Old Style" w:eastAsia="Times New Roman" w:hAnsi="Bookman Old Style" w:cs="Times New Roman"/>
          <w:sz w:val="24"/>
          <w:szCs w:val="24"/>
        </w:rPr>
      </w:pPr>
    </w:p>
    <w:p w14:paraId="4BAF5F8C" w14:textId="77777777" w:rsidR="00227A04" w:rsidRPr="00B327CE" w:rsidRDefault="00227A04" w:rsidP="005908A4">
      <w:pPr>
        <w:pStyle w:val="Prrafodelista"/>
        <w:numPr>
          <w:ilvl w:val="0"/>
          <w:numId w:val="1"/>
        </w:numPr>
        <w:spacing w:after="0" w:line="276" w:lineRule="auto"/>
        <w:jc w:val="both"/>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Proposición</w:t>
      </w:r>
    </w:p>
    <w:p w14:paraId="21F1656A" w14:textId="77777777" w:rsidR="005908A4" w:rsidRPr="00B327CE" w:rsidRDefault="005908A4" w:rsidP="005908A4">
      <w:pPr>
        <w:spacing w:after="0" w:line="276" w:lineRule="auto"/>
        <w:jc w:val="both"/>
        <w:rPr>
          <w:rFonts w:ascii="Bookman Old Style" w:hAnsi="Bookman Old Style" w:cs="Times New Roman"/>
          <w:sz w:val="24"/>
          <w:szCs w:val="24"/>
        </w:rPr>
      </w:pPr>
    </w:p>
    <w:p w14:paraId="44CC4808" w14:textId="4F3D1451" w:rsidR="005908A4" w:rsidRPr="00B327CE" w:rsidRDefault="005908A4" w:rsidP="005908A4">
      <w:pPr>
        <w:spacing w:after="0" w:line="276" w:lineRule="auto"/>
        <w:jc w:val="both"/>
        <w:rPr>
          <w:rFonts w:ascii="Bookman Old Style" w:hAnsi="Bookman Old Style" w:cs="Times New Roman"/>
          <w:sz w:val="24"/>
          <w:szCs w:val="24"/>
          <w:lang w:val="es-MX"/>
        </w:rPr>
      </w:pPr>
      <w:r w:rsidRPr="00B327CE">
        <w:rPr>
          <w:rFonts w:ascii="Bookman Old Style" w:hAnsi="Bookman Old Style" w:cs="Times New Roman"/>
          <w:sz w:val="24"/>
          <w:szCs w:val="24"/>
        </w:rPr>
        <w:t xml:space="preserve">Con fundamento en las anteriores consideraciones, de manera respetuosa me permito rendir ponencia positiva y, por tanto, solicitar a la Comisión Primera Constitucional Permanente de la Cámara de Representantes dar Primer Debate al Proyecto de Acto Legislativo 366 de 2021 Cámara – 011 de 2021 Senado </w:t>
      </w:r>
      <w:r w:rsidRPr="00B327CE">
        <w:rPr>
          <w:rFonts w:ascii="Bookman Old Style" w:hAnsi="Bookman Old Style" w:cs="Times New Roman"/>
          <w:sz w:val="24"/>
          <w:szCs w:val="24"/>
          <w:lang w:val="es-MX"/>
        </w:rPr>
        <w:t>“Por el cual se modifica el artículo 65 de la Constitución Política de Colombia”.</w:t>
      </w:r>
    </w:p>
    <w:p w14:paraId="6BF44168" w14:textId="54B59B52" w:rsidR="005908A4" w:rsidRPr="00B327CE" w:rsidRDefault="005908A4" w:rsidP="005908A4">
      <w:pPr>
        <w:spacing w:after="0" w:line="276" w:lineRule="auto"/>
        <w:jc w:val="both"/>
        <w:rPr>
          <w:rFonts w:ascii="Bookman Old Style" w:hAnsi="Bookman Old Style" w:cs="Times New Roman"/>
          <w:b/>
          <w:sz w:val="24"/>
          <w:szCs w:val="24"/>
        </w:rPr>
      </w:pPr>
    </w:p>
    <w:p w14:paraId="147E1F35" w14:textId="257E0A87" w:rsidR="005908A4" w:rsidRPr="00B327CE" w:rsidRDefault="005908A4" w:rsidP="005908A4">
      <w:pPr>
        <w:spacing w:after="0" w:line="276" w:lineRule="auto"/>
        <w:jc w:val="both"/>
        <w:rPr>
          <w:rFonts w:ascii="Bookman Old Style" w:hAnsi="Bookman Old Style" w:cs="Times New Roman"/>
          <w:b/>
          <w:sz w:val="24"/>
          <w:szCs w:val="24"/>
        </w:rPr>
      </w:pPr>
    </w:p>
    <w:p w14:paraId="457FE170" w14:textId="43CDA2C3" w:rsidR="005908A4" w:rsidRDefault="005908A4" w:rsidP="005908A4">
      <w:pPr>
        <w:spacing w:after="0" w:line="276" w:lineRule="auto"/>
        <w:jc w:val="both"/>
        <w:rPr>
          <w:rFonts w:ascii="Bookman Old Style" w:hAnsi="Bookman Old Style" w:cs="Times New Roman"/>
          <w:b/>
          <w:sz w:val="24"/>
          <w:szCs w:val="24"/>
        </w:rPr>
      </w:pPr>
    </w:p>
    <w:p w14:paraId="555B59B5" w14:textId="57950ACB" w:rsidR="004D02BE" w:rsidRDefault="004D02BE" w:rsidP="005908A4">
      <w:pPr>
        <w:spacing w:after="0" w:line="276" w:lineRule="auto"/>
        <w:jc w:val="both"/>
        <w:rPr>
          <w:rFonts w:ascii="Bookman Old Style" w:hAnsi="Bookman Old Style" w:cs="Times New Roman"/>
          <w:b/>
          <w:sz w:val="24"/>
          <w:szCs w:val="24"/>
        </w:rPr>
      </w:pPr>
    </w:p>
    <w:p w14:paraId="48513DBF" w14:textId="77777777" w:rsidR="004D02BE" w:rsidRPr="00B327CE" w:rsidRDefault="004D02BE" w:rsidP="005908A4">
      <w:pPr>
        <w:spacing w:after="0" w:line="276" w:lineRule="auto"/>
        <w:jc w:val="both"/>
        <w:rPr>
          <w:rFonts w:ascii="Bookman Old Style" w:hAnsi="Bookman Old Style" w:cs="Times New Roman"/>
          <w:b/>
          <w:sz w:val="24"/>
          <w:szCs w:val="24"/>
        </w:rPr>
      </w:pPr>
    </w:p>
    <w:p w14:paraId="55F84D78" w14:textId="77777777" w:rsidR="005908A4" w:rsidRPr="00B327CE" w:rsidRDefault="005908A4" w:rsidP="004D02BE">
      <w:pPr>
        <w:spacing w:after="0" w:line="276" w:lineRule="auto"/>
        <w:jc w:val="center"/>
        <w:rPr>
          <w:rFonts w:ascii="Bookman Old Style" w:hAnsi="Bookman Old Style" w:cs="Times New Roman"/>
          <w:b/>
          <w:sz w:val="24"/>
          <w:szCs w:val="24"/>
        </w:rPr>
      </w:pPr>
      <w:r w:rsidRPr="00B327CE">
        <w:rPr>
          <w:rFonts w:ascii="Bookman Old Style" w:hAnsi="Bookman Old Style" w:cs="Times New Roman"/>
          <w:b/>
          <w:sz w:val="24"/>
          <w:szCs w:val="24"/>
        </w:rPr>
        <w:t>JUAN CARLOS LOSADA VARGAS</w:t>
      </w:r>
    </w:p>
    <w:p w14:paraId="31C0CEE2" w14:textId="66E5919E" w:rsidR="005908A4" w:rsidRDefault="005908A4" w:rsidP="004D02BE">
      <w:pPr>
        <w:spacing w:after="0" w:line="276" w:lineRule="auto"/>
        <w:jc w:val="center"/>
        <w:rPr>
          <w:rFonts w:ascii="Bookman Old Style" w:hAnsi="Bookman Old Style" w:cs="Times New Roman"/>
          <w:sz w:val="24"/>
          <w:szCs w:val="24"/>
        </w:rPr>
      </w:pPr>
      <w:r w:rsidRPr="00B327CE">
        <w:rPr>
          <w:rFonts w:ascii="Bookman Old Style" w:hAnsi="Bookman Old Style" w:cs="Times New Roman"/>
          <w:sz w:val="24"/>
          <w:szCs w:val="24"/>
        </w:rPr>
        <w:t>Representante a la Cámara</w:t>
      </w:r>
      <w:r w:rsidR="004D02BE">
        <w:rPr>
          <w:rFonts w:ascii="Bookman Old Style" w:hAnsi="Bookman Old Style" w:cs="Times New Roman"/>
          <w:sz w:val="24"/>
          <w:szCs w:val="24"/>
        </w:rPr>
        <w:t>.</w:t>
      </w:r>
    </w:p>
    <w:p w14:paraId="10105103" w14:textId="4BDCC927" w:rsidR="004D02BE" w:rsidRPr="00B327CE" w:rsidRDefault="004D02BE" w:rsidP="004D02BE">
      <w:pPr>
        <w:spacing w:after="0" w:line="276" w:lineRule="auto"/>
        <w:jc w:val="center"/>
        <w:rPr>
          <w:rFonts w:ascii="Bookman Old Style" w:hAnsi="Bookman Old Style" w:cs="Times New Roman"/>
          <w:sz w:val="24"/>
          <w:szCs w:val="24"/>
        </w:rPr>
      </w:pPr>
      <w:r>
        <w:rPr>
          <w:rFonts w:ascii="Bookman Old Style" w:hAnsi="Bookman Old Style" w:cs="Times New Roman"/>
          <w:sz w:val="24"/>
          <w:szCs w:val="24"/>
        </w:rPr>
        <w:t>Ponente.</w:t>
      </w:r>
    </w:p>
    <w:p w14:paraId="3A0198FF" w14:textId="7A0636CC" w:rsidR="004D02BE" w:rsidRDefault="004D02BE">
      <w:pPr>
        <w:rPr>
          <w:rFonts w:ascii="Bookman Old Style" w:hAnsi="Bookman Old Style" w:cs="Times New Roman"/>
          <w:sz w:val="24"/>
          <w:szCs w:val="24"/>
        </w:rPr>
      </w:pPr>
      <w:r>
        <w:rPr>
          <w:rFonts w:ascii="Bookman Old Style" w:hAnsi="Bookman Old Style" w:cs="Times New Roman"/>
          <w:sz w:val="24"/>
          <w:szCs w:val="24"/>
        </w:rPr>
        <w:br w:type="page"/>
      </w:r>
    </w:p>
    <w:p w14:paraId="5B711663" w14:textId="77777777" w:rsidR="005908A4" w:rsidRPr="00B327CE" w:rsidRDefault="005908A4" w:rsidP="005908A4">
      <w:pPr>
        <w:spacing w:after="0" w:line="276" w:lineRule="auto"/>
        <w:jc w:val="both"/>
        <w:rPr>
          <w:rFonts w:ascii="Bookman Old Style" w:hAnsi="Bookman Old Style" w:cs="Times New Roman"/>
          <w:sz w:val="24"/>
          <w:szCs w:val="24"/>
        </w:rPr>
      </w:pPr>
    </w:p>
    <w:p w14:paraId="6A5739A3" w14:textId="77777777" w:rsidR="005908A4" w:rsidRPr="00B327CE" w:rsidRDefault="005908A4" w:rsidP="005908A4">
      <w:pPr>
        <w:spacing w:after="0" w:line="276" w:lineRule="auto"/>
        <w:jc w:val="both"/>
        <w:rPr>
          <w:rFonts w:ascii="Bookman Old Style" w:hAnsi="Bookman Old Style" w:cs="Times New Roman"/>
          <w:b/>
          <w:sz w:val="24"/>
          <w:szCs w:val="24"/>
        </w:rPr>
      </w:pPr>
    </w:p>
    <w:p w14:paraId="0208EDD7" w14:textId="3DE5436E" w:rsidR="005908A4" w:rsidRPr="004D02BE" w:rsidRDefault="009D3106" w:rsidP="004D02BE">
      <w:pPr>
        <w:pStyle w:val="Prrafodelista"/>
        <w:numPr>
          <w:ilvl w:val="0"/>
          <w:numId w:val="1"/>
        </w:numPr>
        <w:spacing w:after="0" w:line="276" w:lineRule="auto"/>
        <w:jc w:val="both"/>
        <w:rPr>
          <w:rFonts w:ascii="Bookman Old Style" w:hAnsi="Bookman Old Style" w:cs="Times New Roman"/>
          <w:b/>
          <w:sz w:val="24"/>
          <w:szCs w:val="24"/>
        </w:rPr>
      </w:pPr>
      <w:r>
        <w:rPr>
          <w:rFonts w:ascii="Bookman Old Style" w:hAnsi="Bookman Old Style" w:cs="Times New Roman"/>
          <w:b/>
          <w:bCs/>
          <w:sz w:val="24"/>
          <w:szCs w:val="24"/>
          <w:lang w:val="es-MX"/>
        </w:rPr>
        <w:t xml:space="preserve">INFORME DE PONENCIA PARA PRIMER DEBATE EN PRIMERA VUELTA EN LA CÁMARA DE REPRESENTANTES AL </w:t>
      </w:r>
      <w:r w:rsidR="004D02BE" w:rsidRPr="004D02BE">
        <w:rPr>
          <w:rFonts w:ascii="Bookman Old Style" w:hAnsi="Bookman Old Style" w:cs="Times New Roman"/>
          <w:b/>
          <w:sz w:val="24"/>
          <w:szCs w:val="24"/>
        </w:rPr>
        <w:t xml:space="preserve">PROYECTO DE ACTO LEGISLATIVO 366 DE 2021 CÁMARA – 011 DE 2021 SENADO </w:t>
      </w:r>
      <w:r w:rsidR="005908A4" w:rsidRPr="004D02BE">
        <w:rPr>
          <w:rFonts w:ascii="Bookman Old Style" w:hAnsi="Bookman Old Style" w:cs="Times New Roman"/>
          <w:bCs/>
          <w:sz w:val="24"/>
          <w:szCs w:val="24"/>
        </w:rPr>
        <w:t>“Por el cual se modifica el artículo 65 de la Constitución Política de Colombia”</w:t>
      </w:r>
    </w:p>
    <w:p w14:paraId="657B29B2" w14:textId="5B9DF0FA" w:rsidR="004D02BE" w:rsidRDefault="004D02BE" w:rsidP="004D02BE">
      <w:pPr>
        <w:spacing w:after="0" w:line="276" w:lineRule="auto"/>
        <w:jc w:val="both"/>
        <w:rPr>
          <w:rFonts w:ascii="Bookman Old Style" w:hAnsi="Bookman Old Style" w:cs="Times New Roman"/>
          <w:b/>
          <w:sz w:val="24"/>
          <w:szCs w:val="24"/>
        </w:rPr>
      </w:pPr>
    </w:p>
    <w:p w14:paraId="55327CE9" w14:textId="77777777" w:rsidR="004D02BE" w:rsidRPr="004D02BE" w:rsidRDefault="004D02BE" w:rsidP="004D02BE">
      <w:pPr>
        <w:spacing w:after="0" w:line="276" w:lineRule="auto"/>
        <w:jc w:val="both"/>
        <w:rPr>
          <w:rFonts w:ascii="Bookman Old Style" w:hAnsi="Bookman Old Style" w:cs="Times New Roman"/>
          <w:b/>
          <w:sz w:val="24"/>
          <w:szCs w:val="24"/>
        </w:rPr>
      </w:pPr>
    </w:p>
    <w:p w14:paraId="2B98FD64" w14:textId="77777777" w:rsidR="005908A4" w:rsidRPr="00B327CE" w:rsidRDefault="005908A4" w:rsidP="005908A4">
      <w:pPr>
        <w:spacing w:after="0" w:line="276" w:lineRule="auto"/>
        <w:jc w:val="center"/>
        <w:rPr>
          <w:rFonts w:ascii="Bookman Old Style" w:hAnsi="Bookman Old Style" w:cs="Times New Roman"/>
          <w:b/>
          <w:sz w:val="24"/>
          <w:szCs w:val="24"/>
        </w:rPr>
      </w:pPr>
    </w:p>
    <w:p w14:paraId="273DA638" w14:textId="44CEA808" w:rsidR="005908A4" w:rsidRPr="00B327CE" w:rsidRDefault="004D02BE" w:rsidP="005908A4">
      <w:pPr>
        <w:spacing w:after="0" w:line="276" w:lineRule="auto"/>
        <w:jc w:val="center"/>
        <w:rPr>
          <w:rFonts w:ascii="Bookman Old Style" w:hAnsi="Bookman Old Style" w:cs="Times New Roman"/>
          <w:b/>
          <w:sz w:val="24"/>
          <w:szCs w:val="24"/>
        </w:rPr>
      </w:pPr>
      <w:r w:rsidRPr="00B327CE">
        <w:rPr>
          <w:rFonts w:ascii="Bookman Old Style" w:hAnsi="Bookman Old Style" w:cs="Times New Roman"/>
          <w:b/>
          <w:sz w:val="24"/>
          <w:szCs w:val="24"/>
        </w:rPr>
        <w:t>EL CONGRESO DE COLOMBIA</w:t>
      </w:r>
    </w:p>
    <w:p w14:paraId="031E885E" w14:textId="47111CC3" w:rsidR="005908A4" w:rsidRDefault="005908A4" w:rsidP="005908A4">
      <w:pPr>
        <w:spacing w:after="0" w:line="276" w:lineRule="auto"/>
        <w:jc w:val="center"/>
        <w:rPr>
          <w:rFonts w:ascii="Bookman Old Style" w:hAnsi="Bookman Old Style" w:cs="Times New Roman"/>
          <w:b/>
          <w:sz w:val="24"/>
          <w:szCs w:val="24"/>
        </w:rPr>
      </w:pPr>
    </w:p>
    <w:p w14:paraId="76894738" w14:textId="77777777" w:rsidR="004D02BE" w:rsidRPr="00B327CE" w:rsidRDefault="004D02BE" w:rsidP="005908A4">
      <w:pPr>
        <w:spacing w:after="0" w:line="276" w:lineRule="auto"/>
        <w:jc w:val="center"/>
        <w:rPr>
          <w:rFonts w:ascii="Bookman Old Style" w:hAnsi="Bookman Old Style" w:cs="Times New Roman"/>
          <w:b/>
          <w:sz w:val="24"/>
          <w:szCs w:val="24"/>
        </w:rPr>
      </w:pPr>
    </w:p>
    <w:p w14:paraId="45621F57" w14:textId="77777777" w:rsidR="005908A4" w:rsidRPr="00B327CE" w:rsidRDefault="005908A4" w:rsidP="005908A4">
      <w:pPr>
        <w:spacing w:after="0" w:line="276" w:lineRule="auto"/>
        <w:jc w:val="center"/>
        <w:rPr>
          <w:rFonts w:ascii="Bookman Old Style" w:hAnsi="Bookman Old Style" w:cs="Times New Roman"/>
          <w:b/>
          <w:sz w:val="24"/>
          <w:szCs w:val="24"/>
        </w:rPr>
      </w:pPr>
      <w:r w:rsidRPr="00B327CE">
        <w:rPr>
          <w:rFonts w:ascii="Bookman Old Style" w:hAnsi="Bookman Old Style" w:cs="Times New Roman"/>
          <w:b/>
          <w:sz w:val="24"/>
          <w:szCs w:val="24"/>
        </w:rPr>
        <w:t>DECRETA:</w:t>
      </w:r>
    </w:p>
    <w:p w14:paraId="6059385A" w14:textId="77777777" w:rsidR="005908A4" w:rsidRPr="00B327CE" w:rsidRDefault="005908A4" w:rsidP="005908A4">
      <w:pPr>
        <w:spacing w:after="0" w:line="276" w:lineRule="auto"/>
        <w:jc w:val="center"/>
        <w:rPr>
          <w:rFonts w:ascii="Bookman Old Style" w:hAnsi="Bookman Old Style" w:cs="Times New Roman"/>
          <w:b/>
          <w:sz w:val="24"/>
          <w:szCs w:val="24"/>
        </w:rPr>
      </w:pPr>
    </w:p>
    <w:p w14:paraId="59D3CD2E" w14:textId="79860679" w:rsidR="005908A4" w:rsidRPr="00B327CE" w:rsidRDefault="005908A4" w:rsidP="004D02BE">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Artículo 1º. Modifíquese el artículo 65 de la Constitución Política de Colombia, el cual quedará as</w:t>
      </w:r>
      <w:r w:rsidR="00B327CE" w:rsidRPr="00B327CE">
        <w:rPr>
          <w:rFonts w:ascii="Bookman Old Style" w:hAnsi="Bookman Old Style" w:cs="Times New Roman"/>
          <w:sz w:val="24"/>
          <w:szCs w:val="24"/>
        </w:rPr>
        <w:t>í</w:t>
      </w:r>
      <w:r w:rsidRPr="00B327CE">
        <w:rPr>
          <w:rFonts w:ascii="Bookman Old Style" w:hAnsi="Bookman Old Style" w:cs="Times New Roman"/>
          <w:sz w:val="24"/>
          <w:szCs w:val="24"/>
        </w:rPr>
        <w:t>:</w:t>
      </w:r>
    </w:p>
    <w:p w14:paraId="2D733A8C" w14:textId="77777777" w:rsidR="005908A4" w:rsidRPr="00B327CE" w:rsidRDefault="005908A4" w:rsidP="005908A4">
      <w:pPr>
        <w:spacing w:after="0" w:line="276" w:lineRule="auto"/>
        <w:rPr>
          <w:rFonts w:ascii="Bookman Old Style" w:hAnsi="Bookman Old Style" w:cs="Times New Roman"/>
          <w:b/>
          <w:sz w:val="24"/>
          <w:szCs w:val="24"/>
        </w:rPr>
      </w:pPr>
    </w:p>
    <w:p w14:paraId="3899E8B9" w14:textId="77777777" w:rsidR="005908A4" w:rsidRPr="00B327CE" w:rsidRDefault="005908A4"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0381CF36" w14:textId="77777777" w:rsidR="005908A4" w:rsidRPr="00B327CE" w:rsidRDefault="005908A4" w:rsidP="005908A4">
      <w:pPr>
        <w:spacing w:after="0" w:line="276" w:lineRule="auto"/>
        <w:jc w:val="both"/>
        <w:rPr>
          <w:rFonts w:ascii="Bookman Old Style" w:hAnsi="Bookman Old Style" w:cs="Times New Roman"/>
          <w:sz w:val="24"/>
          <w:szCs w:val="24"/>
        </w:rPr>
      </w:pPr>
    </w:p>
    <w:p w14:paraId="25F70177" w14:textId="77777777" w:rsidR="005908A4" w:rsidRPr="00B327CE" w:rsidRDefault="005908A4"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10000A93" w14:textId="77777777" w:rsidR="005908A4" w:rsidRPr="00B327CE" w:rsidRDefault="005908A4" w:rsidP="005908A4">
      <w:pPr>
        <w:spacing w:after="0" w:line="276" w:lineRule="auto"/>
        <w:jc w:val="both"/>
        <w:rPr>
          <w:rFonts w:ascii="Bookman Old Style" w:hAnsi="Bookman Old Style" w:cs="Times New Roman"/>
          <w:sz w:val="24"/>
          <w:szCs w:val="24"/>
        </w:rPr>
      </w:pPr>
    </w:p>
    <w:p w14:paraId="6CA262CC" w14:textId="6DD8B2A0" w:rsidR="005908A4" w:rsidRPr="00B327CE" w:rsidRDefault="005908A4"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w:t>
      </w:r>
      <w:r w:rsidR="00B327CE" w:rsidRPr="00B327CE">
        <w:rPr>
          <w:rFonts w:ascii="Bookman Old Style" w:hAnsi="Bookman Old Style" w:cs="Times New Roman"/>
          <w:sz w:val="24"/>
          <w:szCs w:val="24"/>
        </w:rPr>
        <w:t xml:space="preserve">, </w:t>
      </w:r>
      <w:r w:rsidR="00B327CE" w:rsidRPr="009A0698">
        <w:rPr>
          <w:rFonts w:ascii="Bookman Old Style" w:hAnsi="Bookman Old Style" w:cs="Times New Roman"/>
          <w:sz w:val="24"/>
          <w:szCs w:val="24"/>
        </w:rPr>
        <w:t>dando prioridad a las formas de producción de alimentos que estén acorde con una dieta saludable y que generen un menor impacto ambiental.</w:t>
      </w:r>
    </w:p>
    <w:p w14:paraId="2CB50B32" w14:textId="77777777" w:rsidR="005908A4" w:rsidRPr="00B327CE" w:rsidRDefault="005908A4" w:rsidP="005908A4">
      <w:pPr>
        <w:spacing w:after="0" w:line="276" w:lineRule="auto"/>
        <w:jc w:val="both"/>
        <w:rPr>
          <w:rFonts w:ascii="Bookman Old Style" w:hAnsi="Bookman Old Style" w:cs="Times New Roman"/>
          <w:sz w:val="24"/>
          <w:szCs w:val="24"/>
        </w:rPr>
      </w:pPr>
    </w:p>
    <w:p w14:paraId="387B43F9" w14:textId="77777777" w:rsidR="005908A4" w:rsidRPr="00B327CE" w:rsidRDefault="005908A4" w:rsidP="005908A4">
      <w:pPr>
        <w:spacing w:after="0"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Artículo 2º. El presente Acto Legislativo rige a partir de su promulgación y deroga todas las normas que le sean contrarias.</w:t>
      </w:r>
    </w:p>
    <w:p w14:paraId="6BEB73E2" w14:textId="5AABA63C" w:rsidR="005908A4" w:rsidRPr="00B327CE" w:rsidRDefault="005908A4" w:rsidP="005908A4">
      <w:pPr>
        <w:spacing w:after="0" w:line="276" w:lineRule="auto"/>
        <w:jc w:val="both"/>
        <w:rPr>
          <w:rFonts w:ascii="Bookman Old Style" w:hAnsi="Bookman Old Style" w:cs="Times New Roman"/>
          <w:b/>
          <w:sz w:val="24"/>
          <w:szCs w:val="24"/>
        </w:rPr>
      </w:pPr>
    </w:p>
    <w:p w14:paraId="42C9896E" w14:textId="5281B2CF" w:rsidR="005908A4" w:rsidRPr="004D02BE" w:rsidRDefault="004D02BE" w:rsidP="005908A4">
      <w:pPr>
        <w:spacing w:after="0" w:line="276" w:lineRule="auto"/>
        <w:jc w:val="both"/>
        <w:rPr>
          <w:rFonts w:ascii="Bookman Old Style" w:hAnsi="Bookman Old Style" w:cs="Times New Roman"/>
          <w:bCs/>
          <w:sz w:val="24"/>
          <w:szCs w:val="24"/>
        </w:rPr>
      </w:pPr>
      <w:r w:rsidRPr="004D02BE">
        <w:rPr>
          <w:rFonts w:ascii="Bookman Old Style" w:hAnsi="Bookman Old Style" w:cs="Times New Roman"/>
          <w:bCs/>
          <w:sz w:val="24"/>
          <w:szCs w:val="24"/>
        </w:rPr>
        <w:t>C</w:t>
      </w:r>
      <w:r>
        <w:rPr>
          <w:rFonts w:ascii="Bookman Old Style" w:hAnsi="Bookman Old Style" w:cs="Times New Roman"/>
          <w:bCs/>
          <w:sz w:val="24"/>
          <w:szCs w:val="24"/>
        </w:rPr>
        <w:t>ordialmente,</w:t>
      </w:r>
    </w:p>
    <w:p w14:paraId="48AA2331" w14:textId="7E3246F3" w:rsidR="005908A4" w:rsidRDefault="005908A4" w:rsidP="005908A4">
      <w:pPr>
        <w:spacing w:after="0" w:line="276" w:lineRule="auto"/>
        <w:jc w:val="both"/>
        <w:rPr>
          <w:rFonts w:ascii="Bookman Old Style" w:hAnsi="Bookman Old Style" w:cs="Times New Roman"/>
          <w:sz w:val="24"/>
          <w:szCs w:val="24"/>
        </w:rPr>
      </w:pPr>
    </w:p>
    <w:p w14:paraId="000A6108" w14:textId="518F9C7F" w:rsidR="004D02BE" w:rsidRDefault="004D02BE" w:rsidP="005908A4">
      <w:pPr>
        <w:spacing w:after="0" w:line="276" w:lineRule="auto"/>
        <w:jc w:val="both"/>
        <w:rPr>
          <w:rFonts w:ascii="Bookman Old Style" w:hAnsi="Bookman Old Style" w:cs="Times New Roman"/>
          <w:sz w:val="24"/>
          <w:szCs w:val="24"/>
        </w:rPr>
      </w:pPr>
    </w:p>
    <w:p w14:paraId="7E16E17D" w14:textId="77777777" w:rsidR="004D02BE" w:rsidRDefault="004D02BE" w:rsidP="005908A4">
      <w:pPr>
        <w:spacing w:after="0" w:line="276" w:lineRule="auto"/>
        <w:jc w:val="both"/>
        <w:rPr>
          <w:rFonts w:ascii="Bookman Old Style" w:hAnsi="Bookman Old Style" w:cs="Times New Roman"/>
          <w:sz w:val="24"/>
          <w:szCs w:val="24"/>
        </w:rPr>
      </w:pPr>
    </w:p>
    <w:p w14:paraId="0EF864D3" w14:textId="65EEFF94" w:rsidR="004D02BE" w:rsidRDefault="004D02BE" w:rsidP="005908A4">
      <w:pPr>
        <w:spacing w:after="0" w:line="276" w:lineRule="auto"/>
        <w:jc w:val="both"/>
        <w:rPr>
          <w:rFonts w:ascii="Bookman Old Style" w:hAnsi="Bookman Old Style" w:cs="Times New Roman"/>
          <w:sz w:val="24"/>
          <w:szCs w:val="24"/>
        </w:rPr>
      </w:pPr>
    </w:p>
    <w:p w14:paraId="4BD6414F" w14:textId="77777777" w:rsidR="004D02BE" w:rsidRPr="00B327CE" w:rsidRDefault="004D02BE" w:rsidP="005908A4">
      <w:pPr>
        <w:spacing w:after="0" w:line="276" w:lineRule="auto"/>
        <w:jc w:val="both"/>
        <w:rPr>
          <w:rFonts w:ascii="Bookman Old Style" w:hAnsi="Bookman Old Style" w:cs="Times New Roman"/>
          <w:sz w:val="24"/>
          <w:szCs w:val="24"/>
        </w:rPr>
      </w:pPr>
    </w:p>
    <w:p w14:paraId="4214EDA9" w14:textId="77777777" w:rsidR="005908A4" w:rsidRPr="00B327CE" w:rsidRDefault="005908A4" w:rsidP="004D02BE">
      <w:pPr>
        <w:spacing w:after="0" w:line="276" w:lineRule="auto"/>
        <w:jc w:val="center"/>
        <w:rPr>
          <w:rFonts w:ascii="Bookman Old Style" w:hAnsi="Bookman Old Style" w:cs="Times New Roman"/>
          <w:b/>
          <w:sz w:val="24"/>
          <w:szCs w:val="24"/>
        </w:rPr>
      </w:pPr>
      <w:r w:rsidRPr="00B327CE">
        <w:rPr>
          <w:rFonts w:ascii="Bookman Old Style" w:hAnsi="Bookman Old Style" w:cs="Times New Roman"/>
          <w:b/>
          <w:sz w:val="24"/>
          <w:szCs w:val="24"/>
        </w:rPr>
        <w:t>JUAN CARLOS LOSADA VARGAS</w:t>
      </w:r>
    </w:p>
    <w:p w14:paraId="37EE4496" w14:textId="0F57F8E3" w:rsidR="005908A4" w:rsidRDefault="005908A4" w:rsidP="004D02BE">
      <w:pPr>
        <w:spacing w:after="0" w:line="276" w:lineRule="auto"/>
        <w:jc w:val="center"/>
        <w:rPr>
          <w:rFonts w:ascii="Bookman Old Style" w:hAnsi="Bookman Old Style" w:cs="Times New Roman"/>
          <w:sz w:val="24"/>
          <w:szCs w:val="24"/>
        </w:rPr>
      </w:pPr>
      <w:r w:rsidRPr="00B327CE">
        <w:rPr>
          <w:rFonts w:ascii="Bookman Old Style" w:hAnsi="Bookman Old Style" w:cs="Times New Roman"/>
          <w:sz w:val="24"/>
          <w:szCs w:val="24"/>
        </w:rPr>
        <w:t>Representante a la Cámara</w:t>
      </w:r>
      <w:r w:rsidR="004D02BE">
        <w:rPr>
          <w:rFonts w:ascii="Bookman Old Style" w:hAnsi="Bookman Old Style" w:cs="Times New Roman"/>
          <w:sz w:val="24"/>
          <w:szCs w:val="24"/>
        </w:rPr>
        <w:t>.</w:t>
      </w:r>
    </w:p>
    <w:p w14:paraId="3CF3DDCE" w14:textId="743140AF" w:rsidR="004D02BE" w:rsidRPr="00B327CE" w:rsidRDefault="004D02BE" w:rsidP="004D02BE">
      <w:pPr>
        <w:spacing w:after="0" w:line="276" w:lineRule="auto"/>
        <w:jc w:val="center"/>
        <w:rPr>
          <w:rFonts w:ascii="Bookman Old Style" w:hAnsi="Bookman Old Style" w:cs="Times New Roman"/>
          <w:sz w:val="24"/>
          <w:szCs w:val="24"/>
        </w:rPr>
      </w:pPr>
      <w:r>
        <w:rPr>
          <w:rFonts w:ascii="Bookman Old Style" w:hAnsi="Bookman Old Style" w:cs="Times New Roman"/>
          <w:sz w:val="24"/>
          <w:szCs w:val="24"/>
        </w:rPr>
        <w:t>Ponente</w:t>
      </w:r>
    </w:p>
    <w:p w14:paraId="4ACA0050" w14:textId="77777777" w:rsidR="005908A4" w:rsidRPr="00B327CE" w:rsidRDefault="005908A4" w:rsidP="004D02BE">
      <w:pPr>
        <w:spacing w:after="0" w:line="276" w:lineRule="auto"/>
        <w:jc w:val="center"/>
        <w:rPr>
          <w:rFonts w:ascii="Bookman Old Style" w:hAnsi="Bookman Old Style" w:cs="Times New Roman"/>
          <w:sz w:val="24"/>
          <w:szCs w:val="24"/>
          <w:lang w:val="es-MX"/>
        </w:rPr>
      </w:pPr>
    </w:p>
    <w:p w14:paraId="427AE464" w14:textId="77777777" w:rsidR="000D7B5B" w:rsidRPr="00B327CE" w:rsidRDefault="000D7B5B" w:rsidP="005908A4">
      <w:pPr>
        <w:spacing w:after="0"/>
        <w:jc w:val="both"/>
        <w:rPr>
          <w:rFonts w:ascii="Bookman Old Style" w:hAnsi="Bookman Old Style" w:cs="Arial"/>
          <w:sz w:val="24"/>
          <w:szCs w:val="24"/>
          <w:lang w:val="es-MX"/>
        </w:rPr>
      </w:pPr>
    </w:p>
    <w:sectPr w:rsidR="000D7B5B" w:rsidRPr="00B327C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8AF9" w14:textId="77777777" w:rsidR="00526ADD" w:rsidRDefault="00526ADD" w:rsidP="00227A04">
      <w:pPr>
        <w:spacing w:after="0" w:line="240" w:lineRule="auto"/>
      </w:pPr>
      <w:r>
        <w:separator/>
      </w:r>
    </w:p>
  </w:endnote>
  <w:endnote w:type="continuationSeparator" w:id="0">
    <w:p w14:paraId="57523094" w14:textId="77777777" w:rsidR="00526ADD" w:rsidRDefault="00526ADD" w:rsidP="0022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5276" w14:textId="77777777" w:rsidR="00526ADD" w:rsidRDefault="00526ADD" w:rsidP="00227A04">
      <w:pPr>
        <w:spacing w:after="0" w:line="240" w:lineRule="auto"/>
      </w:pPr>
      <w:r>
        <w:separator/>
      </w:r>
    </w:p>
  </w:footnote>
  <w:footnote w:type="continuationSeparator" w:id="0">
    <w:p w14:paraId="668D12A2" w14:textId="77777777" w:rsidR="00526ADD" w:rsidRDefault="00526ADD" w:rsidP="00227A04">
      <w:pPr>
        <w:spacing w:after="0" w:line="240" w:lineRule="auto"/>
      </w:pPr>
      <w:r>
        <w:continuationSeparator/>
      </w:r>
    </w:p>
  </w:footnote>
  <w:footnote w:id="1">
    <w:p w14:paraId="56F8ADDA" w14:textId="77777777" w:rsidR="00227A04" w:rsidRPr="002E0711"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2E0711">
        <w:rPr>
          <w:rFonts w:ascii="Times New Roman" w:hAnsi="Times New Roman" w:cs="Times New Roman"/>
          <w:sz w:val="20"/>
          <w:szCs w:val="20"/>
          <w:vertAlign w:val="superscript"/>
        </w:rPr>
        <w:footnoteRef/>
      </w:r>
      <w:r w:rsidRPr="002E0711">
        <w:rPr>
          <w:rFonts w:ascii="Times New Roman" w:eastAsia="Arial" w:hAnsi="Times New Roman" w:cs="Times New Roman"/>
          <w:color w:val="000000"/>
          <w:sz w:val="20"/>
          <w:szCs w:val="20"/>
        </w:rPr>
        <w:t xml:space="preserve"> Artículo 25 (como parte del derecho a un nivel de vida adecuado) de la Declaración Universal de los Derechos Humanos de 1948 adoptada por la Asamblea General de las Naciones Unidas en Resolución 217 A (III) de fecha 10 de diciembre de 1948, la cual es considerada como Fuente de Derecho Internacional de conformidad con el artículo 38 del Estatuto de la Corte Internacional de Justicia, en tanto cumple con los requisitos para ser considerada Costumbre Internacional; Artículos 11 (derecho a un nivel de vida adecuado) y 12 (derecho de toda persona a estar protegida contra el hambre) del Pacto Internacional de Derechos Económicos de 1966, Sociales y Culturales; y el Artículo 12 (derecho a la alimentación) del Protocolo Adicional a la Convención Americana sobre Derechos Humanos en Materia de Derechos Económicos Sociales y Culturales “Protocolo de San Salvador” de 1988. Así mismo, es menester resaltar que el doctrinante MARCO GERARDO MONROY CABRA ha señalado que en general “</w:t>
      </w:r>
      <w:r w:rsidRPr="002E0711">
        <w:rPr>
          <w:rFonts w:ascii="Times New Roman" w:eastAsia="Arial" w:hAnsi="Times New Roman" w:cs="Times New Roman"/>
          <w:i/>
          <w:color w:val="000000"/>
          <w:sz w:val="20"/>
          <w:szCs w:val="20"/>
        </w:rPr>
        <w:t>las normas que regulan el respeto a los derechos humanos son de ius cogens, de orden público y por tanto, imperativas y obligatorias para la comunidad internacional</w:t>
      </w:r>
      <w:r w:rsidRPr="002E0711">
        <w:rPr>
          <w:rFonts w:ascii="Times New Roman" w:eastAsia="Arial" w:hAnsi="Times New Roman" w:cs="Times New Roman"/>
          <w:color w:val="000000"/>
          <w:sz w:val="20"/>
          <w:szCs w:val="20"/>
        </w:rPr>
        <w:t xml:space="preserve">” En: MARCO GERARDO MONROY CABRA, </w:t>
      </w:r>
      <w:r w:rsidRPr="002E0711">
        <w:rPr>
          <w:rFonts w:ascii="Times New Roman" w:eastAsia="Arial" w:hAnsi="Times New Roman" w:cs="Times New Roman"/>
          <w:i/>
          <w:color w:val="000000"/>
          <w:sz w:val="20"/>
          <w:szCs w:val="20"/>
        </w:rPr>
        <w:t>Derecho Internacional Público</w:t>
      </w:r>
      <w:r w:rsidRPr="002E0711">
        <w:rPr>
          <w:rFonts w:ascii="Times New Roman" w:eastAsia="Arial" w:hAnsi="Times New Roman" w:cs="Times New Roman"/>
          <w:color w:val="000000"/>
          <w:sz w:val="20"/>
          <w:szCs w:val="20"/>
        </w:rPr>
        <w:t>, Bogotá, Editorial Temis, 2011. Pág. 660-661, por lo que el presente proyecto de Ley apunta a dar cumplimiento a obligaciones imperativas de carácter internacional que el Estado colombiano ha contraído en virtud de su pertenencia a la Comunidad Internacional y debido a la suscripción de sendos Tratados sobre Derechos Humanos que le son vinculantes.</w:t>
      </w:r>
    </w:p>
  </w:footnote>
  <w:footnote w:id="2">
    <w:p w14:paraId="1D325771" w14:textId="77777777" w:rsidR="000A4E2B" w:rsidRPr="000A4E2B" w:rsidRDefault="000A4E2B">
      <w:pPr>
        <w:pStyle w:val="Textonotapie"/>
        <w:rPr>
          <w:lang w:val="es-MX"/>
        </w:rPr>
      </w:pPr>
      <w:r w:rsidRPr="002E0711">
        <w:rPr>
          <w:rStyle w:val="Refdenotaalpie"/>
          <w:rFonts w:ascii="Times New Roman" w:hAnsi="Times New Roman" w:cs="Times New Roman"/>
        </w:rPr>
        <w:footnoteRef/>
      </w:r>
      <w:r w:rsidRPr="002E0711">
        <w:rPr>
          <w:rFonts w:ascii="Times New Roman" w:hAnsi="Times New Roman" w:cs="Times New Roman"/>
        </w:rPr>
        <w:t xml:space="preserve"> </w:t>
      </w:r>
      <w:r w:rsidR="002E0711" w:rsidRPr="002E0711">
        <w:rPr>
          <w:rFonts w:ascii="Times New Roman" w:hAnsi="Times New Roman" w:cs="Times New Roman"/>
        </w:rPr>
        <w:t xml:space="preserve">Disponible en: </w:t>
      </w:r>
      <w:hyperlink r:id="rId1" w:history="1">
        <w:r w:rsidR="002E0711" w:rsidRPr="002E0711">
          <w:rPr>
            <w:rStyle w:val="Hipervnculo"/>
            <w:rFonts w:ascii="Times New Roman" w:hAnsi="Times New Roman" w:cs="Times New Roman"/>
          </w:rPr>
          <w:t>https://www.fao.org/3/cb5409es/cb5409es.pdf</w:t>
        </w:r>
      </w:hyperlink>
      <w:r w:rsidR="002E0711">
        <w:t xml:space="preserve"> </w:t>
      </w:r>
    </w:p>
  </w:footnote>
  <w:footnote w:id="3">
    <w:p w14:paraId="2F515C53" w14:textId="77777777" w:rsidR="002E0711" w:rsidRPr="002E0711" w:rsidRDefault="002E0711" w:rsidP="002E0711">
      <w:pPr>
        <w:pStyle w:val="Textonotapie"/>
        <w:jc w:val="both"/>
        <w:rPr>
          <w:lang w:val="es-MX"/>
        </w:rPr>
      </w:pPr>
      <w:r>
        <w:rPr>
          <w:rStyle w:val="Refdenotaalpie"/>
        </w:rPr>
        <w:footnoteRef/>
      </w:r>
      <w:r>
        <w:t xml:space="preserve"> </w:t>
      </w:r>
      <w:r>
        <w:rPr>
          <w:lang w:val="es-MX"/>
        </w:rPr>
        <w:t xml:space="preserve">A pesar de que se cuenta con la Encuesta Nacional de Situación Nutricional (ENSIN) realizada cada cinco años, se considera que el periodo evaluado es muy amplio y, adicionalmente, su interpretación y aplicación en razón del extenso periodo </w:t>
      </w:r>
      <w:r w:rsidR="00315CEA">
        <w:rPr>
          <w:lang w:val="es-MX"/>
        </w:rPr>
        <w:t>que abarca constituye un desafío en materia de interpretación para los tomadores de decisión.</w:t>
      </w:r>
    </w:p>
  </w:footnote>
  <w:footnote w:id="4">
    <w:p w14:paraId="5F4FA08F"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5">
    <w:p w14:paraId="0CCF87F0"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Así lo dispone el Artículo 1 de la Declaración Universal de los Derechos Humanos que establece que </w:t>
      </w:r>
      <w:r w:rsidRPr="00655FEA">
        <w:rPr>
          <w:rFonts w:ascii="Times New Roman" w:eastAsia="Arial" w:hAnsi="Times New Roman" w:cs="Times New Roman"/>
          <w:i/>
          <w:color w:val="000000"/>
          <w:sz w:val="20"/>
          <w:szCs w:val="20"/>
        </w:rPr>
        <w:t>“todos los seres humanos nacen libres e iguales en dignidad y derechos”</w:t>
      </w:r>
    </w:p>
  </w:footnote>
  <w:footnote w:id="6">
    <w:p w14:paraId="109EAA94"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7">
    <w:p w14:paraId="32029F92"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8">
    <w:p w14:paraId="29B07989"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interrelación, interdependencia e indivisibilidad, la Oficina del Alto Comisionado para los Derechos Humanos define dichos criterios en el sentido de que  </w:t>
      </w:r>
      <w:r w:rsidRPr="00655FEA">
        <w:rPr>
          <w:rFonts w:ascii="Times New Roman" w:eastAsia="Arial"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sidRPr="00655FEA">
        <w:rPr>
          <w:rFonts w:ascii="Times New Roman" w:eastAsia="Arial"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9">
    <w:p w14:paraId="723339E9"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ASBJØRN EIDE et al. </w:t>
      </w:r>
      <w:r w:rsidRPr="00655FEA">
        <w:rPr>
          <w:rFonts w:ascii="Times New Roman" w:eastAsia="Arial" w:hAnsi="Times New Roman" w:cs="Times New Roman"/>
          <w:color w:val="000000"/>
          <w:sz w:val="20"/>
          <w:szCs w:val="20"/>
          <w:lang w:val="en-US"/>
        </w:rPr>
        <w:t xml:space="preserve">(Eds.), </w:t>
      </w:r>
      <w:r w:rsidRPr="00655FEA">
        <w:rPr>
          <w:rFonts w:ascii="Times New Roman" w:eastAsia="Arial" w:hAnsi="Times New Roman" w:cs="Times New Roman"/>
          <w:i/>
          <w:color w:val="000000"/>
          <w:sz w:val="20"/>
          <w:szCs w:val="20"/>
          <w:lang w:val="en-US"/>
        </w:rPr>
        <w:t>Economic, Social and Cultural Rights</w:t>
      </w:r>
      <w:r w:rsidRPr="00655FEA">
        <w:rPr>
          <w:rFonts w:ascii="Times New Roman" w:eastAsia="Arial" w:hAnsi="Times New Roman" w:cs="Times New Roman"/>
          <w:color w:val="000000"/>
          <w:sz w:val="20"/>
          <w:szCs w:val="20"/>
          <w:lang w:val="en-US"/>
        </w:rPr>
        <w:t xml:space="preserve">, 2ª </w:t>
      </w:r>
      <w:r w:rsidRPr="00655FEA">
        <w:rPr>
          <w:rFonts w:ascii="Times New Roman" w:eastAsia="Arial" w:hAnsi="Times New Roman" w:cs="Times New Roman"/>
          <w:color w:val="000000"/>
          <w:sz w:val="20"/>
          <w:szCs w:val="20"/>
          <w:lang w:val="en-US"/>
        </w:rPr>
        <w:t xml:space="preserve">Edición, La Haya, Kluwer Law International, 2011. </w:t>
      </w:r>
      <w:r w:rsidRPr="00655FEA">
        <w:rPr>
          <w:rFonts w:ascii="Times New Roman" w:eastAsia="Arial" w:hAnsi="Times New Roman" w:cs="Times New Roman"/>
          <w:color w:val="000000"/>
          <w:sz w:val="20"/>
          <w:szCs w:val="20"/>
        </w:rPr>
        <w:t>Pág. 9</w:t>
      </w:r>
    </w:p>
  </w:footnote>
  <w:footnote w:id="10">
    <w:p w14:paraId="324181E0"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Dentro de los cuales se encuentran el derecho al medio ambiente, al desarrollo, a la paz, a la autodeterminación de los pueblos y al patrimonio común de la humanidad. Los mismos se encuentran orientados, en cierta forma, a la protección de aquellos intereses que resultan fundamentales para la humanidad como un todo. En:  MARÍA EUGENIA RODRÍGUEZ PALOP, </w:t>
      </w:r>
      <w:r w:rsidRPr="00655FEA">
        <w:rPr>
          <w:rFonts w:ascii="Times New Roman" w:eastAsia="Arial" w:hAnsi="Times New Roman" w:cs="Times New Roman"/>
          <w:i/>
          <w:color w:val="000000"/>
          <w:sz w:val="20"/>
          <w:szCs w:val="20"/>
        </w:rPr>
        <w:t>La nueva generación de Derechos Humanos. Origen y Justificación.</w:t>
      </w:r>
      <w:r w:rsidRPr="00655FEA">
        <w:rPr>
          <w:rFonts w:ascii="Times New Roman" w:eastAsia="Arial" w:hAnsi="Times New Roman" w:cs="Times New Roman"/>
          <w:color w:val="000000"/>
          <w:sz w:val="20"/>
          <w:szCs w:val="20"/>
        </w:rPr>
        <w:t xml:space="preserve"> Madrid. Instituto de Derechos Humanos “Bartolomé de las Casas” Universidad Carlos III de Madrid. Editorial Dykinson, 2010.</w:t>
      </w:r>
    </w:p>
  </w:footnote>
  <w:footnote w:id="11">
    <w:p w14:paraId="16204D50"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establecido que: “</w:t>
      </w:r>
      <w:r w:rsidRPr="00655FEA">
        <w:rPr>
          <w:rFonts w:ascii="Times New Roman" w:eastAsia="Arial" w:hAnsi="Times New Roman" w:cs="Times New Roman"/>
          <w:i/>
          <w:color w:val="000000"/>
          <w:sz w:val="20"/>
          <w:szCs w:val="20"/>
        </w:rPr>
        <w:t>Los derechos humanos forman una unidad, pues son interdependientes, integrales y universales, de suerte que no es admisible que se desconozcan unos derechos so pretexto de salvaguardar otros. Esta interdependencia y unidad de los derechos humanos tiene como fundamento la idea de que para proteger verdaderamente la dignidad humana es necesario que la persona no sólo tenga órbitas de acción que se encuentren libres de interferencia ajena, como lo quería la filosofía liberal, sino que además es menester que el individuo tenga posibilidades de participación en los destinos colectivos de la sociedad de la cual hace parte, conforme a las aspiraciones de la filosofía democrática, y también que se le aseguren una mínimas condiciones materiales de existencia, según los postulados de las filosofías políticas de orientación social. Los derechos humanos son pues una unidad compleja. Por ello algunos sectores de la doctrina suelen clasificar los derechos humanos en derechos de libertad, provenientes de la tradición liberal, derechos de participación, que son desarrollo de la filosofía democrática, y derechos sociales prestacionales, que corresponden a la influencia de las corrientes de orientación social y socialista.</w:t>
      </w:r>
      <w:r w:rsidRPr="00655FEA">
        <w:rPr>
          <w:rFonts w:ascii="Times New Roman" w:eastAsia="Arial" w:hAnsi="Times New Roman" w:cs="Times New Roman"/>
          <w:color w:val="000000"/>
          <w:sz w:val="20"/>
          <w:szCs w:val="20"/>
        </w:rPr>
        <w:t>” Corte Constitucional, Sentencia C-251 de 1997. Magistrado Ponente: Alejandro Martínez Caballero</w:t>
      </w:r>
    </w:p>
  </w:footnote>
  <w:footnote w:id="12">
    <w:p w14:paraId="7042AEDB"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dispuesto que: “</w:t>
      </w:r>
      <w:r w:rsidRPr="00655FEA">
        <w:rPr>
          <w:rFonts w:ascii="Times New Roman" w:eastAsia="Arial" w:hAnsi="Times New Roman" w:cs="Times New Roman"/>
          <w:i/>
          <w:color w:val="000000"/>
          <w:sz w:val="20"/>
          <w:szCs w:val="20"/>
        </w:rPr>
        <w:t xml:space="preserve">La Constitución acoge la fórmula del Estado social de derecho, la cual implica que las autoridades buscan no sólo garantizar a la persona esferas libres de interferencia ajena, sino que es su deber también asegurarles condiciones materiales mínimas de existencia, por lo cual el Estado debe realizar progresivamente los llamados derechos económicos, sociales y culturales. El Estado tiene frente a los particulares no sólo deberes de abstención sino que debe igualmente realizar prestaciones positivas, sobre todo en materia social, a fin de asegurar las condiciones materiales mínimas, sin las cuales no es posible vivir una vida digna. Existe entonces una íntima relación entre la consagración del Estado social de derecho, el reconocimiento de la dignidad humana, y la incorporación de los llamados derechos de segunda generación.” </w:t>
      </w:r>
      <w:r w:rsidRPr="00655FEA">
        <w:rPr>
          <w:rFonts w:ascii="Times New Roman" w:eastAsia="Arial" w:hAnsi="Times New Roman" w:cs="Times New Roman"/>
          <w:color w:val="000000"/>
          <w:sz w:val="20"/>
          <w:szCs w:val="20"/>
        </w:rPr>
        <w:t>Corte Constitucional, Sentencia C-251 de 1997. Magistrado Ponente: Alejandro Martínez Caballero</w:t>
      </w:r>
    </w:p>
  </w:footnote>
  <w:footnote w:id="13">
    <w:p w14:paraId="493AFB9F"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WENCHE BARTH EIDE y UWE KRACHT. </w:t>
      </w:r>
      <w:r w:rsidRPr="00655FEA">
        <w:rPr>
          <w:rFonts w:ascii="Times New Roman" w:eastAsia="Arial" w:hAnsi="Times New Roman" w:cs="Times New Roman"/>
          <w:i/>
          <w:color w:val="000000"/>
          <w:sz w:val="20"/>
          <w:szCs w:val="20"/>
          <w:lang w:val="en-US"/>
        </w:rPr>
        <w:t>Chapter 4: The Right to adequate food in Human Rights Instruments; Legal Norms and Interpretations</w:t>
      </w:r>
      <w:r w:rsidRPr="00655FEA">
        <w:rPr>
          <w:rFonts w:ascii="Times New Roman" w:eastAsia="Arial" w:hAnsi="Times New Roman" w:cs="Times New Roman"/>
          <w:color w:val="000000"/>
          <w:sz w:val="20"/>
          <w:szCs w:val="20"/>
          <w:lang w:val="en-US"/>
        </w:rPr>
        <w:t xml:space="preserve">.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100</w:t>
      </w:r>
    </w:p>
  </w:footnote>
  <w:footnote w:id="14">
    <w:p w14:paraId="76D3EA89"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respeto, </w:t>
      </w:r>
      <w:r w:rsidRPr="00655FEA">
        <w:rPr>
          <w:rFonts w:ascii="Times New Roman" w:eastAsia="Arial" w:hAnsi="Times New Roman" w:cs="Times New Roman"/>
          <w:i/>
          <w:color w:val="000000"/>
          <w:sz w:val="20"/>
          <w:szCs w:val="20"/>
        </w:rPr>
        <w:t>“(…) significa que los Estados deben abstenerse de interferir en el disfrute de los derechos humanos, o de limitarlos”</w:t>
      </w:r>
      <w:r w:rsidRPr="00655FEA">
        <w:rPr>
          <w:rFonts w:ascii="Times New Roman" w:eastAsia="Arial" w:hAnsi="Times New Roman" w:cs="Times New Roman"/>
          <w:color w:val="000000"/>
          <w:sz w:val="20"/>
          <w:szCs w:val="20"/>
        </w:rPr>
        <w:t>. En: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 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5">
    <w:p w14:paraId="3AD97990"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protección, ésta exige que </w:t>
      </w:r>
      <w:r w:rsidRPr="00655FEA">
        <w:rPr>
          <w:rFonts w:ascii="Times New Roman" w:eastAsia="Arial" w:hAnsi="Times New Roman" w:cs="Times New Roman"/>
          <w:i/>
          <w:color w:val="000000"/>
          <w:sz w:val="20"/>
          <w:szCs w:val="20"/>
        </w:rPr>
        <w:t xml:space="preserve">“(…) los Estados impidan los abusos de los derechos humanos contra individuos y grupos”. 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6">
    <w:p w14:paraId="44196374"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realización, ésta se refiera al deber de  “</w:t>
      </w:r>
      <w:r w:rsidRPr="00655FEA">
        <w:rPr>
          <w:rFonts w:ascii="Times New Roman" w:eastAsia="Arial" w:hAnsi="Times New Roman" w:cs="Times New Roman"/>
          <w:i/>
          <w:color w:val="000000"/>
          <w:sz w:val="20"/>
          <w:szCs w:val="20"/>
        </w:rPr>
        <w:t>adoptar medidas positivas para facilitar el disfrute de los derechos humanos básicos.</w:t>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7">
    <w:p w14:paraId="1D092053"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8">
    <w:p w14:paraId="0229D910"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“Toda persona tiene derecho a un nivel de vida adecuado que le asegure, así como a su familia, la salud y el bienestar, </w:t>
      </w:r>
      <w:r w:rsidRPr="00655FEA">
        <w:rPr>
          <w:rFonts w:ascii="Times New Roman" w:eastAsia="Arial" w:hAnsi="Times New Roman" w:cs="Times New Roman"/>
          <w:b/>
          <w:i/>
          <w:color w:val="000000"/>
          <w:sz w:val="20"/>
          <w:szCs w:val="20"/>
        </w:rPr>
        <w:t>y en especial la alimentación</w:t>
      </w:r>
      <w:r w:rsidRPr="00655FEA">
        <w:rPr>
          <w:rFonts w:ascii="Times New Roman" w:eastAsia="Arial" w:hAnsi="Times New Roman" w:cs="Times New Roman"/>
          <w:i/>
          <w:color w:val="000000"/>
          <w:sz w:val="20"/>
          <w:szCs w:val="20"/>
        </w:rPr>
        <w:t xml:space="preserve">,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655FEA">
        <w:rPr>
          <w:rFonts w:ascii="Times New Roman" w:eastAsia="Arial" w:hAnsi="Times New Roman" w:cs="Times New Roman"/>
          <w:color w:val="000000"/>
          <w:sz w:val="20"/>
          <w:szCs w:val="20"/>
        </w:rPr>
        <w:t xml:space="preserve">(Se resalta) </w:t>
      </w:r>
    </w:p>
  </w:footnote>
  <w:footnote w:id="19">
    <w:p w14:paraId="1A78E42D"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“1. Los Estados Partes en el presente Pacto reconocen el derecho de toda persona a un nivel de vida adecuado para sí y su familia, incluso </w:t>
      </w:r>
      <w:r w:rsidRPr="00655FEA">
        <w:rPr>
          <w:rFonts w:ascii="Times New Roman" w:eastAsia="Arial" w:hAnsi="Times New Roman" w:cs="Times New Roman"/>
          <w:b/>
          <w:i/>
          <w:color w:val="000000"/>
          <w:sz w:val="20"/>
          <w:szCs w:val="20"/>
        </w:rPr>
        <w:t>alimentación</w:t>
      </w:r>
      <w:r w:rsidRPr="00655FEA">
        <w:rPr>
          <w:rFonts w:ascii="Times New Roman" w:eastAsia="Arial" w:hAnsi="Times New Roman" w:cs="Times New Roman"/>
          <w:i/>
          <w:color w:val="000000"/>
          <w:sz w:val="20"/>
          <w:szCs w:val="20"/>
        </w:rPr>
        <w:t xml:space="preserve">, vestido y vivienda </w:t>
      </w:r>
      <w:r w:rsidRPr="00655FEA">
        <w:rPr>
          <w:rFonts w:ascii="Times New Roman" w:eastAsia="Arial" w:hAnsi="Times New Roman" w:cs="Times New Roman"/>
          <w:b/>
          <w:i/>
          <w:color w:val="000000"/>
          <w:sz w:val="20"/>
          <w:szCs w:val="20"/>
        </w:rPr>
        <w:t>adecuados</w:t>
      </w:r>
      <w:r w:rsidRPr="00655FEA">
        <w:rPr>
          <w:rFonts w:ascii="Times New Roman" w:eastAsia="Arial" w:hAnsi="Times New Roman" w:cs="Times New Roman"/>
          <w:i/>
          <w:color w:val="000000"/>
          <w:sz w:val="20"/>
          <w:szCs w:val="20"/>
        </w:rPr>
        <w:t xml:space="preserve">, y a una mejora continua de las condiciones de existencia. Los Estados Partes tomarán medidas apropiadas para asegurar la efectividad de este derecho, reconociendo a este efecto la importancia esencial de la cooperación internacional fundada en el libre consentimiento. (…) 2. Los Estados Partes en el presente Pacto, reconociendo el derecho fundamental de toda persona a estar protegida contra el hambre, adoptarán, individualmente y mediante la cooperación internacional, las medidas, incluidos programas concretos, que se necesiten para: (…)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 (…) b) Asegurar una distribución equitativa de los alimentos mundiales en relación con las necesidades, teniendo en cuenta los problemas que se plantean tanto a los países que importan productos alimenticios como a los que los exportan.” </w:t>
      </w:r>
      <w:r w:rsidRPr="00655FEA">
        <w:rPr>
          <w:rFonts w:ascii="Times New Roman" w:eastAsia="Arial" w:hAnsi="Times New Roman" w:cs="Times New Roman"/>
          <w:color w:val="000000"/>
          <w:sz w:val="20"/>
          <w:szCs w:val="20"/>
        </w:rPr>
        <w:t>(Se resalta)</w:t>
      </w:r>
    </w:p>
  </w:footnote>
  <w:footnote w:id="20">
    <w:p w14:paraId="2AD65005"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Respecto a la Observación General, es preciso resaltar que la misma se constituye como una interpretación experta y autorizada respecto del contenido de los instrumentos de Derecho Internacional que contienen disposiciones relativas a los Derechos Humanos. La misma fue emitida por el órgano de supervisión del Tratado en cuestión, cuya competencia se irroga gracias a las disposiciones contenidas en el mismo.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105. Así mismo, la Corte Constitucional en Sentencia C-251 de 1997 reconoce a dichas observaciones, en conjunción con otros informes oficiales provenientes del Relator de esta clase de derechos, la característica de ser “la doctrina internacional más autorizada en materia de Derechos Económicos, Sociales y Culturales”, como lo es en el presente caso el Derecho a la Alimentación adecuada.</w:t>
      </w:r>
    </w:p>
  </w:footnote>
  <w:footnote w:id="21">
    <w:p w14:paraId="7AC886BC"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 2. Los Estados Partes asegurarán la plena aplicación de este derecho y, en particular, adoptarán las medidas apropiadas para: a) Reducir la mortalidad infantil y en la niñez;</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b) Asegurar la prestación de la asistencia médica y la atención sanitaria que sean necesarias a todos los niños, haciendo hincapié en el desarrollo de la atención primaria de la salud;</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c) 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d) Asegurar atención sanitaria prenatal y postnatal apropiada a las madres;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f) Desarrollar la atención sanitaria preventiva, la orientación a los padres y la educación y servicios en materia de planificación de la familia.”</w:t>
      </w:r>
    </w:p>
  </w:footnote>
  <w:footnote w:id="22">
    <w:p w14:paraId="79E5DFF7"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23">
    <w:p w14:paraId="02CE08BC"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25. f </w:t>
      </w:r>
      <w:r w:rsidRPr="00655FEA">
        <w:rPr>
          <w:rFonts w:ascii="Times New Roman" w:eastAsia="Arial" w:hAnsi="Times New Roman" w:cs="Times New Roman"/>
          <w:i/>
          <w:color w:val="000000"/>
          <w:sz w:val="20"/>
          <w:szCs w:val="20"/>
        </w:rPr>
        <w:t xml:space="preserve">“Impedirán que se nieguen, de manera discriminatoria, servicios de salud o de atención de la salud o alimentos sólidos o líquidos por motivos de discapacidad.”; </w:t>
      </w:r>
      <w:r w:rsidRPr="00655FEA">
        <w:rPr>
          <w:rFonts w:ascii="Times New Roman" w:eastAsia="Arial" w:hAnsi="Times New Roman" w:cs="Times New Roman"/>
          <w:color w:val="000000"/>
          <w:sz w:val="20"/>
          <w:szCs w:val="20"/>
        </w:rPr>
        <w:t xml:space="preserve">28.1 </w:t>
      </w:r>
      <w:r w:rsidRPr="00655FEA">
        <w:rPr>
          <w:rFonts w:ascii="Times New Roman" w:eastAsia="Arial" w:hAnsi="Times New Roman" w:cs="Times New Roman"/>
          <w:i/>
          <w:color w:val="000000"/>
          <w:sz w:val="20"/>
          <w:szCs w:val="20"/>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footnote>
  <w:footnote w:id="24">
    <w:p w14:paraId="3531CD78" w14:textId="77777777" w:rsidR="00227A04" w:rsidRPr="00655FEA" w:rsidRDefault="00227A04" w:rsidP="00227A04">
      <w:pPr>
        <w:widowControl w:val="0"/>
        <w:spacing w:after="0" w:line="240" w:lineRule="auto"/>
        <w:jc w:val="both"/>
        <w:rPr>
          <w:rFonts w:ascii="Times New Roman" w:eastAsia="Arial" w:hAnsi="Times New Roman" w:cs="Times New Roman"/>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sz w:val="20"/>
          <w:szCs w:val="20"/>
        </w:rPr>
        <w:t xml:space="preserve"> “</w:t>
      </w:r>
      <w:r w:rsidRPr="00655FEA">
        <w:rPr>
          <w:rFonts w:ascii="Times New Roman" w:eastAsia="Arial" w:hAnsi="Times New Roman" w:cs="Times New Roman"/>
          <w:i/>
          <w:sz w:val="20"/>
          <w:szCs w:val="20"/>
        </w:rPr>
        <w:t xml:space="preserve">1. Toda persona tiene derecho a una nutrición adecuada que le asegure la posibilidad de gozar del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más alto nivel de desarrollo físico, emocional e intelectual. (…)2. Con el objeto de hacer efectivo este derecho y a erradicar la desnutrición, los Estados partes se</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 xml:space="preserve">comprometen a perfeccionar los métodos de producción, aprovisionamiento y distribución de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alimentos, para lo cual se comprometen a promover una mayor cooperación internacional en apoyo de las políticas nacionales sobre la materia.”</w:t>
      </w:r>
    </w:p>
  </w:footnote>
  <w:footnote w:id="25">
    <w:p w14:paraId="52A43EC6"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Ver: Comisión Africana de Derechos Humanos y de los Pueblos. </w:t>
      </w:r>
      <w:r w:rsidRPr="00655FEA">
        <w:rPr>
          <w:rFonts w:ascii="Times New Roman" w:eastAsia="Arial" w:hAnsi="Times New Roman" w:cs="Times New Roman"/>
          <w:color w:val="000000"/>
          <w:sz w:val="20"/>
          <w:szCs w:val="20"/>
          <w:lang w:val="en-US"/>
        </w:rPr>
        <w:t xml:space="preserve">Caso </w:t>
      </w:r>
      <w:r w:rsidRPr="00655FEA">
        <w:rPr>
          <w:rFonts w:ascii="Times New Roman" w:eastAsia="Arial" w:hAnsi="Times New Roman" w:cs="Times New Roman"/>
          <w:i/>
          <w:color w:val="000000"/>
          <w:sz w:val="20"/>
          <w:szCs w:val="20"/>
          <w:lang w:val="en-US"/>
        </w:rPr>
        <w:t>“The Social and Economic Rights Action Center and the Center for Economic and Social Rights v. Nigeria”</w:t>
      </w:r>
      <w:r w:rsidRPr="00655FEA">
        <w:rPr>
          <w:rFonts w:ascii="Times New Roman" w:eastAsia="Arial" w:hAnsi="Times New Roman" w:cs="Times New Roman"/>
          <w:color w:val="000000"/>
          <w:sz w:val="20"/>
          <w:szCs w:val="20"/>
          <w:lang w:val="en-US"/>
        </w:rPr>
        <w:t xml:space="preserve">, </w:t>
      </w:r>
      <w:r w:rsidRPr="00655FEA">
        <w:rPr>
          <w:rFonts w:ascii="Times New Roman" w:eastAsia="Arial" w:hAnsi="Times New Roman" w:cs="Times New Roman"/>
          <w:color w:val="000000"/>
          <w:sz w:val="20"/>
          <w:szCs w:val="20"/>
          <w:lang w:val="en-US"/>
        </w:rPr>
        <w:t xml:space="preserve">comunicación No. 155/96, párr. </w:t>
      </w:r>
      <w:r w:rsidRPr="00655FEA">
        <w:rPr>
          <w:rFonts w:ascii="Times New Roman" w:eastAsia="Arial" w:hAnsi="Times New Roman" w:cs="Times New Roman"/>
          <w:color w:val="000000"/>
          <w:sz w:val="20"/>
          <w:szCs w:val="20"/>
        </w:rPr>
        <w:t>64</w:t>
      </w:r>
    </w:p>
  </w:footnote>
  <w:footnote w:id="26">
    <w:p w14:paraId="02091C08"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w:t>
      </w:r>
    </w:p>
  </w:footnote>
  <w:footnote w:id="27">
    <w:p w14:paraId="32851A2D"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de las Naciones Unidas para los Derechos Humanos. </w:t>
      </w:r>
      <w:r w:rsidRPr="00655FEA">
        <w:rPr>
          <w:rFonts w:ascii="Times New Roman" w:eastAsia="Arial" w:hAnsi="Times New Roman" w:cs="Times New Roman"/>
          <w:i/>
          <w:color w:val="000000"/>
          <w:sz w:val="20"/>
          <w:szCs w:val="20"/>
        </w:rPr>
        <w:t>Folleto Informativo No. 27.</w:t>
      </w:r>
    </w:p>
  </w:footnote>
  <w:footnote w:id="28">
    <w:p w14:paraId="3749FDD4"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15</w:t>
      </w:r>
    </w:p>
  </w:footnote>
  <w:footnote w:id="29">
    <w:p w14:paraId="2C9B7174"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21</w:t>
      </w:r>
    </w:p>
  </w:footnote>
  <w:footnote w:id="30">
    <w:p w14:paraId="625C34E6" w14:textId="77777777" w:rsidR="00227A04" w:rsidRPr="00655FEA" w:rsidRDefault="00227A04" w:rsidP="00227A04">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Amartya K. Sen, El derecho a no tener hambre. Estudios de Filosofía y Derecho No. 3 Universidad Externado de Colombia: 2002.</w:t>
      </w:r>
    </w:p>
  </w:footnote>
  <w:footnote w:id="31">
    <w:p w14:paraId="06663985" w14:textId="77777777" w:rsidR="00227A04" w:rsidRPr="00655FEA" w:rsidRDefault="00227A04" w:rsidP="00227A04">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color w:val="000000"/>
          <w:sz w:val="20"/>
          <w:szCs w:val="20"/>
        </w:rPr>
        <w:t>Ibídem.</w:t>
      </w:r>
    </w:p>
  </w:footnote>
  <w:footnote w:id="32">
    <w:p w14:paraId="1AB94E41" w14:textId="77777777" w:rsidR="00227A04" w:rsidRPr="00655FEA" w:rsidRDefault="00227A04" w:rsidP="00227A04">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color w:val="000000"/>
          <w:sz w:val="20"/>
          <w:szCs w:val="20"/>
        </w:rPr>
        <w:t>Ibídem.</w:t>
      </w:r>
    </w:p>
  </w:footnote>
  <w:footnote w:id="33">
    <w:p w14:paraId="51FBCA29" w14:textId="77777777" w:rsidR="00315CEA" w:rsidRPr="00236C47" w:rsidRDefault="00315CEA" w:rsidP="00315CEA">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Consejo Económico y Social de las Naciones Unidas. </w:t>
      </w:r>
      <w:r w:rsidRPr="00236C47">
        <w:rPr>
          <w:rFonts w:ascii="Arial" w:hAnsi="Arial" w:cs="Arial"/>
          <w:i/>
          <w:sz w:val="18"/>
          <w:szCs w:val="18"/>
        </w:rPr>
        <w:t>Cuestiones sustantivas que se plantean en la aplicación del pacto de derechos económicos, sociales y culturales.</w:t>
      </w:r>
      <w:r w:rsidRPr="00236C47">
        <w:rPr>
          <w:rFonts w:ascii="Arial" w:hAnsi="Arial" w:cs="Arial"/>
          <w:sz w:val="18"/>
          <w:szCs w:val="18"/>
        </w:rPr>
        <w:t xml:space="preserve"> Observación General 12. 20º Periodo de Sesiones. 1999.</w:t>
      </w:r>
    </w:p>
  </w:footnote>
  <w:footnote w:id="34">
    <w:p w14:paraId="438769BA" w14:textId="77777777" w:rsidR="00315CEA" w:rsidRPr="00236C47" w:rsidRDefault="00315CEA" w:rsidP="00315CEA">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FAO, </w:t>
      </w:r>
      <w:r w:rsidRPr="00236C47">
        <w:rPr>
          <w:rFonts w:ascii="Arial" w:hAnsi="Arial" w:cs="Arial"/>
          <w:i/>
          <w:sz w:val="18"/>
          <w:szCs w:val="18"/>
        </w:rPr>
        <w:t>El Estado de la Inseguridad Alimentaria en el Mundo</w:t>
      </w:r>
      <w:r w:rsidRPr="00236C47">
        <w:rPr>
          <w:rFonts w:ascii="Arial" w:hAnsi="Arial" w:cs="Arial"/>
          <w:sz w:val="18"/>
          <w:szCs w:val="18"/>
        </w:rPr>
        <w:t xml:space="preserve"> – 2001. Roma, 2001 En: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5</w:t>
      </w:r>
    </w:p>
  </w:footnote>
  <w:footnote w:id="35">
    <w:p w14:paraId="3CEFCE73" w14:textId="77777777" w:rsidR="00315CEA" w:rsidRPr="00236C47" w:rsidRDefault="00315CEA" w:rsidP="00315CEA">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Págs. 5 – 6.</w:t>
      </w:r>
    </w:p>
  </w:footnote>
  <w:footnote w:id="36">
    <w:p w14:paraId="56CFEF5D" w14:textId="77777777" w:rsidR="00315CEA" w:rsidRPr="00C45DD8" w:rsidRDefault="00315CEA" w:rsidP="00315CEA">
      <w:pPr>
        <w:pStyle w:val="Textonotapie"/>
        <w:jc w:val="both"/>
        <w:rPr>
          <w:rFonts w:ascii="Times New Roman" w:hAnsi="Times New Roman"/>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6.</w:t>
      </w:r>
    </w:p>
  </w:footnote>
  <w:footnote w:id="37">
    <w:p w14:paraId="021E979C" w14:textId="77777777" w:rsidR="00315CEA" w:rsidRPr="00E72739" w:rsidRDefault="00315CEA" w:rsidP="00315CEA">
      <w:pPr>
        <w:pStyle w:val="Textonotapie"/>
        <w:jc w:val="both"/>
        <w:rPr>
          <w:rFonts w:ascii="Times New Roman" w:hAnsi="Times New Roman"/>
          <w:lang w:val="es-MX"/>
        </w:rPr>
      </w:pPr>
      <w:r w:rsidRPr="00E72739">
        <w:rPr>
          <w:rStyle w:val="Refdenotaalpie"/>
          <w:rFonts w:ascii="Times New Roman" w:hAnsi="Times New Roman"/>
        </w:rPr>
        <w:footnoteRef/>
      </w:r>
      <w:r w:rsidRPr="00E72739">
        <w:rPr>
          <w:rFonts w:ascii="Times New Roman" w:hAnsi="Times New Roman"/>
        </w:rPr>
        <w:t xml:space="preserve"> </w:t>
      </w:r>
      <w:r w:rsidRPr="00E72739">
        <w:rPr>
          <w:rFonts w:ascii="Times New Roman" w:hAnsi="Times New Roman"/>
          <w:lang w:val="es-MX"/>
        </w:rPr>
        <w:t xml:space="preserve">Ver: Jorge Andrés Obando Moreno “Seguridad y soberanía alimentaria en los conflictos ambientales colombianos. Análisis de los conflictos actuales y la jurisprudencia de la Corte Constitucional” en: María del Pilar García Pachón (Ed). </w:t>
      </w:r>
      <w:r>
        <w:rPr>
          <w:rFonts w:ascii="Times New Roman" w:hAnsi="Times New Roman"/>
          <w:lang w:val="es-MX"/>
        </w:rPr>
        <w:t>“</w:t>
      </w:r>
      <w:r w:rsidRPr="00E72739">
        <w:rPr>
          <w:rFonts w:ascii="Times New Roman" w:hAnsi="Times New Roman"/>
          <w:lang w:val="es-MX"/>
        </w:rPr>
        <w:t>Lecturas sobre derecho del Medio Ambiente Tomo XX</w:t>
      </w:r>
      <w:r>
        <w:rPr>
          <w:rFonts w:ascii="Times New Roman" w:hAnsi="Times New Roman"/>
          <w:lang w:val="es-MX"/>
        </w:rPr>
        <w:t>” -</w:t>
      </w:r>
      <w:r w:rsidRPr="00E72739">
        <w:rPr>
          <w:rFonts w:ascii="Times New Roman" w:hAnsi="Times New Roman"/>
          <w:lang w:val="es-MX"/>
        </w:rPr>
        <w:t xml:space="preserve"> Universidad Externado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14BE" w14:textId="77777777" w:rsidR="00B327CE" w:rsidRDefault="00B327CE" w:rsidP="00B327CE">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6411E5BF" wp14:editId="1DA7BD69">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88" name="image1.png" descr="Interfaz de usuario gráfica, Texto&#10;&#10;Descripción generada automáticamente"/>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42178F12" w14:textId="77777777" w:rsidR="00B327CE" w:rsidRDefault="00B327CE" w:rsidP="00B327CE">
    <w:pPr>
      <w:pBdr>
        <w:top w:val="nil"/>
        <w:left w:val="nil"/>
        <w:bottom w:val="nil"/>
        <w:right w:val="nil"/>
        <w:between w:val="nil"/>
      </w:pBdr>
      <w:rPr>
        <w:sz w:val="20"/>
        <w:szCs w:val="20"/>
      </w:rPr>
    </w:pPr>
  </w:p>
  <w:p w14:paraId="1CD87B69" w14:textId="77777777" w:rsidR="00B327CE" w:rsidRDefault="00B327CE" w:rsidP="00B327CE">
    <w:pPr>
      <w:pBdr>
        <w:top w:val="nil"/>
        <w:left w:val="nil"/>
        <w:bottom w:val="nil"/>
        <w:right w:val="nil"/>
        <w:between w:val="nil"/>
      </w:pBdr>
      <w:ind w:left="-1133"/>
      <w:rPr>
        <w:sz w:val="20"/>
        <w:szCs w:val="20"/>
      </w:rPr>
    </w:pPr>
  </w:p>
  <w:p w14:paraId="26336274" w14:textId="77777777" w:rsidR="00B327CE" w:rsidRDefault="00B327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05D"/>
    <w:multiLevelType w:val="multilevel"/>
    <w:tmpl w:val="927E6A5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D4463D"/>
    <w:multiLevelType w:val="multilevel"/>
    <w:tmpl w:val="C89ECC3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5475EA"/>
    <w:multiLevelType w:val="multilevel"/>
    <w:tmpl w:val="B26A24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63B01"/>
    <w:multiLevelType w:val="hybridMultilevel"/>
    <w:tmpl w:val="65DAFA76"/>
    <w:lvl w:ilvl="0" w:tplc="CDC45C9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04A6507"/>
    <w:multiLevelType w:val="hybridMultilevel"/>
    <w:tmpl w:val="5F1E9264"/>
    <w:lvl w:ilvl="0" w:tplc="32D21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A60AC8"/>
    <w:multiLevelType w:val="multilevel"/>
    <w:tmpl w:val="2AC66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5A382D"/>
    <w:multiLevelType w:val="multilevel"/>
    <w:tmpl w:val="C23AB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7"/>
    <w:rsid w:val="000A4E2B"/>
    <w:rsid w:val="000D7B5B"/>
    <w:rsid w:val="00227A04"/>
    <w:rsid w:val="002361C3"/>
    <w:rsid w:val="00266CAE"/>
    <w:rsid w:val="002C3760"/>
    <w:rsid w:val="002E0711"/>
    <w:rsid w:val="00315CEA"/>
    <w:rsid w:val="00443F2D"/>
    <w:rsid w:val="004D02BE"/>
    <w:rsid w:val="00526ADD"/>
    <w:rsid w:val="005908A4"/>
    <w:rsid w:val="006658FD"/>
    <w:rsid w:val="009A0698"/>
    <w:rsid w:val="009D3106"/>
    <w:rsid w:val="00B327CE"/>
    <w:rsid w:val="00BB6F93"/>
    <w:rsid w:val="00C96642"/>
    <w:rsid w:val="00D00092"/>
    <w:rsid w:val="00DB41B7"/>
    <w:rsid w:val="00E229D9"/>
    <w:rsid w:val="00E91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6426"/>
  <w15:chartTrackingRefBased/>
  <w15:docId w15:val="{8D8C246A-22CA-4883-922A-36FBA6B3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1B7"/>
    <w:pPr>
      <w:ind w:left="720"/>
      <w:contextualSpacing/>
    </w:pPr>
  </w:style>
  <w:style w:type="paragraph" w:styleId="Textonotapie">
    <w:name w:val="footnote text"/>
    <w:aliases w:val="Ref. de nota al pie1,referencia nota al pie,Appel note de bas de page,Texto de nota al pie,Footnotes refss,Footnote number,BVI fnr,f,Nota de pie,Texto nota al pie,4_G,16 Point,Superscript 6 Point,Ref. de nota al pie 2,Fago Fußnotenzeichen"/>
    <w:basedOn w:val="Normal"/>
    <w:link w:val="TextonotapieCar"/>
    <w:uiPriority w:val="99"/>
    <w:unhideWhenUsed/>
    <w:qFormat/>
    <w:rsid w:val="000A4E2B"/>
    <w:pPr>
      <w:spacing w:after="0" w:line="240" w:lineRule="auto"/>
    </w:pPr>
    <w:rPr>
      <w:sz w:val="20"/>
      <w:szCs w:val="20"/>
    </w:rPr>
  </w:style>
  <w:style w:type="character" w:customStyle="1" w:styleId="TextonotapieCar">
    <w:name w:val="Texto nota pie Car"/>
    <w:aliases w:val="Ref. de nota al pie1 Car,referencia nota al pie Car,Appel note de bas de page Car,Texto de nota al pie Car,Footnotes refss Car,Footnote number Car,BVI fnr Car,f Car,Nota de pie Car,Texto nota al pie Car,4_G Car,16 Point Car"/>
    <w:basedOn w:val="Fuentedeprrafopredeter"/>
    <w:link w:val="Textonotapie"/>
    <w:uiPriority w:val="99"/>
    <w:rsid w:val="000A4E2B"/>
    <w:rPr>
      <w:sz w:val="20"/>
      <w:szCs w:val="20"/>
    </w:rPr>
  </w:style>
  <w:style w:type="character" w:styleId="Refdenotaalpie">
    <w:name w:val="footnote reference"/>
    <w:basedOn w:val="Fuentedeprrafopredeter"/>
    <w:uiPriority w:val="99"/>
    <w:unhideWhenUsed/>
    <w:rsid w:val="000A4E2B"/>
    <w:rPr>
      <w:vertAlign w:val="superscript"/>
    </w:rPr>
  </w:style>
  <w:style w:type="character" w:styleId="Hipervnculo">
    <w:name w:val="Hyperlink"/>
    <w:basedOn w:val="Fuentedeprrafopredeter"/>
    <w:uiPriority w:val="99"/>
    <w:unhideWhenUsed/>
    <w:rsid w:val="002E0711"/>
    <w:rPr>
      <w:color w:val="0563C1" w:themeColor="hyperlink"/>
      <w:u w:val="single"/>
    </w:rPr>
  </w:style>
  <w:style w:type="character" w:styleId="Mencinsinresolver">
    <w:name w:val="Unresolved Mention"/>
    <w:basedOn w:val="Fuentedeprrafopredeter"/>
    <w:uiPriority w:val="99"/>
    <w:semiHidden/>
    <w:unhideWhenUsed/>
    <w:rsid w:val="002E0711"/>
    <w:rPr>
      <w:color w:val="605E5C"/>
      <w:shd w:val="clear" w:color="auto" w:fill="E1DFDD"/>
    </w:rPr>
  </w:style>
  <w:style w:type="table" w:styleId="Tablaconcuadrcula">
    <w:name w:val="Table Grid"/>
    <w:basedOn w:val="Tablanormal"/>
    <w:uiPriority w:val="39"/>
    <w:rsid w:val="0026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27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7CE"/>
  </w:style>
  <w:style w:type="paragraph" w:styleId="Piedepgina">
    <w:name w:val="footer"/>
    <w:basedOn w:val="Normal"/>
    <w:link w:val="PiedepginaCar"/>
    <w:uiPriority w:val="99"/>
    <w:unhideWhenUsed/>
    <w:rsid w:val="00B327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cb5409es/cb5409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0D7A-EDF7-4BE8-B426-9FF9428D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5429</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Ana Maria Hinestrosa Villa</cp:lastModifiedBy>
  <cp:revision>3</cp:revision>
  <dcterms:created xsi:type="dcterms:W3CDTF">2021-11-12T20:45:00Z</dcterms:created>
  <dcterms:modified xsi:type="dcterms:W3CDTF">2021-11-12T20:45:00Z</dcterms:modified>
</cp:coreProperties>
</file>